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58"/>
      </w:tblGrid>
      <w:tr>
        <w:trPr>
          <w:trHeight w:val="530"/>
        </w:trPr>
        <w:tc>
          <w:tcPr>
            <w:shd w:val="clear" w:color="auto" w:fill="auto"/>
            <w:tcBorders>
              <w:top w:val="single" w:color="auto" w:sz="4" w:space="0"/>
              <w:left w:val="single" w:color="auto" w:sz="4" w:space="0"/>
              <w:bottom w:val="single" w:color="auto" w:sz="4" w:space="0"/>
              <w:right w:val="single" w:color="auto" w:sz="4" w:space="0"/>
            </w:tcBorders>
            <w:tcW w:w="9382" w:type="dxa"/>
            <w:textDirection w:val="lrTb"/>
            <w:noWrap w:val="false"/>
          </w:tcPr>
          <w:p>
            <w:pPr>
              <w:pBdr/>
              <w:spacing w:before="60" w:line="240" w:lineRule="exact"/>
              <w:ind/>
              <w:jc w:val="center"/>
              <w:rPr>
                <w:sz w:val="28"/>
              </w:rPr>
            </w:pPr>
            <w:r>
              <w:rPr>
                <w:b/>
                <w:sz w:val="24"/>
                <w:u w:val="single"/>
              </w:rPr>
              <w:t xml:space="preserve">P r i l o g ./O 4 (Ö Q Z – 2 4)</w:t>
            </w:r>
            <w:r>
              <w:rPr>
                <w:b/>
                <w:sz w:val="24"/>
                <w:u w:val="single"/>
              </w:rPr>
              <w:br/>
            </w:r>
            <w:r>
              <w:rPr>
                <w:sz w:val="18"/>
              </w:rPr>
              <w:t xml:space="preserve">(ugovoru o organiziranju)</w:t>
            </w:r>
            <w:r>
              <w:t xml:space="preserve"> </w:t>
            </w:r>
            <w:r>
              <w:rPr>
                <w:sz w:val="28"/>
              </w:rPr>
            </w:r>
          </w:p>
          <w:p>
            <w:pPr>
              <w:pBdr/>
              <w:spacing w:after="60" w:before="120" w:line="240" w:lineRule="exact"/>
              <w:ind/>
              <w:jc w:val="center"/>
              <w:rPr>
                <w:b/>
                <w:u w:val="single"/>
              </w:rPr>
            </w:pPr>
            <w:r>
              <w:rPr>
                <w:b/>
              </w:rPr>
              <w:t xml:space="preserve">Pismene informacije u skladu s točkom 1.2.1 smjernice ÖQZ-24</w:t>
            </w:r>
            <w:r>
              <w:rPr>
                <w:b/>
                <w:u w:val="single"/>
              </w:rPr>
            </w:r>
          </w:p>
        </w:tc>
      </w:tr>
      <w:tr>
        <w:trPr>
          <w:trHeight w:val="2330"/>
        </w:trPr>
        <w:tc>
          <w:tcPr>
            <w:shd w:val="clear" w:color="auto" w:fill="auto"/>
            <w:tcBorders/>
            <w:tcW w:w="9382" w:type="dxa"/>
            <w:textDirection w:val="lrTb"/>
            <w:noWrap w:val="false"/>
          </w:tcPr>
          <w:p>
            <w:pPr>
              <w:numPr>
                <w:ilvl w:val="0"/>
                <w:numId w:val="2"/>
              </w:numPr>
              <w:pBdr/>
              <w:spacing w:after="120" w:before="120" w:line="240" w:lineRule="exact"/>
              <w:ind w:hanging="284" w:left="284"/>
              <w:rPr>
                <w:b/>
                <w:sz w:val="20"/>
              </w:rPr>
            </w:pPr>
            <w:r>
              <w:rPr>
                <w:b/>
                <w:sz w:val="20"/>
              </w:rPr>
              <w:t xml:space="preserve">Odjeljci 159 do 161 GewO 1994. sa izmjenama i dopunama. BGBl. I broj 81/2015</w:t>
            </w:r>
            <w:r>
              <w:rPr>
                <w:b/>
                <w:sz w:val="20"/>
              </w:rPr>
            </w:r>
          </w:p>
          <w:p>
            <w:pPr>
              <w:pBdr/>
              <w:spacing w:line="240" w:lineRule="exact"/>
              <w:ind/>
              <w:jc w:val="center"/>
              <w:rPr>
                <w:b/>
                <w:sz w:val="18"/>
              </w:rPr>
            </w:pPr>
            <w:r>
              <w:rPr>
                <w:b/>
                <w:sz w:val="18"/>
              </w:rPr>
              <w:t xml:space="preserve">Skrb za osobe</w:t>
            </w:r>
            <w:r>
              <w:rPr>
                <w:b/>
                <w:sz w:val="18"/>
              </w:rPr>
            </w:r>
          </w:p>
          <w:p>
            <w:pPr>
              <w:pBdr/>
              <w:spacing w:line="240" w:lineRule="exact"/>
              <w:ind/>
              <w:rPr>
                <w:sz w:val="18"/>
              </w:rPr>
            </w:pPr>
            <w:r>
              <w:rPr>
                <w:sz w:val="18"/>
              </w:rPr>
              <w:t xml:space="preserve">Odjeljak 159. </w:t>
            </w:r>
            <w:r>
              <w:rPr>
                <w:sz w:val="18"/>
              </w:rPr>
            </w:r>
          </w:p>
          <w:p>
            <w:pPr>
              <w:pBdr/>
              <w:spacing w:line="240" w:lineRule="exact"/>
              <w:ind w:left="142"/>
              <w:rPr>
                <w:sz w:val="18"/>
              </w:rPr>
            </w:pPr>
            <w:r>
              <w:rPr>
                <w:sz w:val="18"/>
              </w:rPr>
              <w:t xml:space="preserve">(1) Obrtnici koji obavljaju djelatnost osobne njege imaju pravo pružiti podršku osobama kojima je potrebna skrb. To posebno uključuje sljedeće aktivnosti:</w:t>
            </w:r>
            <w:r>
              <w:rPr>
                <w:sz w:val="18"/>
              </w:rPr>
            </w:r>
          </w:p>
          <w:tbl>
            <w:tblPr>
              <w:tblInd w:w="142" w:type="dxa"/>
              <w:tblW w:w="9015" w:type="dxa"/>
              <w:tblCellMar>
                <w:left w:w="15" w:type="dxa"/>
                <w:top w:w="15" w:type="dxa"/>
                <w:right w:w="15" w:type="dxa"/>
                <w:bottom w:w="15" w:type="dxa"/>
              </w:tblCellMar>
              <w:tblBorders/>
              <w:tblCellSpacing w:w="15" w:type="dxa"/>
              <w:tblLook w:val="04A0" w:firstRow="1" w:lastRow="0" w:firstColumn="1" w:lastColumn="0" w:noHBand="0" w:noVBand="1"/>
            </w:tblPr>
            <w:tblGrid>
              <w:gridCol w:w="226"/>
              <w:gridCol w:w="8789"/>
            </w:tblGrid>
            <w:tr>
              <w:trPr>
                <w:tblCellSpacing w:w="15" w:type="dxa"/>
              </w:trPr>
              <w:tc>
                <w:tcPr>
                  <w:tcBorders/>
                  <w:tcW w:w="181" w:type="dxa"/>
                  <w:textDirection w:val="lrTb"/>
                  <w:noWrap w:val="false"/>
                </w:tcPr>
                <w:p>
                  <w:pPr>
                    <w:pBdr/>
                    <w:spacing w:line="240" w:lineRule="exact"/>
                    <w:ind/>
                    <w:rPr>
                      <w:sz w:val="18"/>
                    </w:rPr>
                  </w:pPr>
                  <w:r>
                    <w:rPr>
                      <w:sz w:val="18"/>
                    </w:rPr>
                    <w:t xml:space="preserve">1.</w:t>
                  </w:r>
                  <w:r>
                    <w:rPr>
                      <w:sz w:val="18"/>
                    </w:rPr>
                  </w:r>
                </w:p>
              </w:tc>
              <w:tc>
                <w:tcPr>
                  <w:tcBorders/>
                  <w:tcW w:w="8744" w:type="dxa"/>
                  <w:vAlign w:val="center"/>
                  <w:textDirection w:val="lrTb"/>
                  <w:noWrap w:val="false"/>
                </w:tcPr>
                <w:p>
                  <w:pPr>
                    <w:pBdr/>
                    <w:spacing w:line="240" w:lineRule="exact"/>
                    <w:ind/>
                    <w:rPr>
                      <w:sz w:val="18"/>
                    </w:rPr>
                  </w:pPr>
                  <w:r>
                    <w:rPr>
                      <w:sz w:val="18"/>
                    </w:rPr>
                    <w:t xml:space="preserve">Vođenje kućanstva i kućanski poslovi, kao što su: pripremanje jela, sitni poslovi, </w:t>
                  </w:r>
                  <w:r>
                    <w:rPr>
                      <w:sz w:val="18"/>
                    </w:rPr>
                    <w:t xml:space="preserve">čišćenje, obavljanje poslova izvan kućanstva, obavljanje zadataka, briga za zdravu sobnu temperaturu, njega biljaka i životinja, briga za rublje - pranje, glačanje, krpanje.</w:t>
                  </w:r>
                  <w:r>
                    <w:rPr>
                      <w:sz w:val="18"/>
                    </w:rPr>
                  </w:r>
                </w:p>
              </w:tc>
            </w:tr>
            <w:tr>
              <w:trPr>
                <w:tblCellSpacing w:w="15" w:type="dxa"/>
              </w:trPr>
              <w:tc>
                <w:tcPr>
                  <w:tcBorders/>
                  <w:tcW w:w="181" w:type="dxa"/>
                  <w:textDirection w:val="lrTb"/>
                  <w:noWrap w:val="false"/>
                </w:tcPr>
                <w:p>
                  <w:pPr>
                    <w:pBdr/>
                    <w:spacing w:line="240" w:lineRule="exact"/>
                    <w:ind/>
                    <w:rPr>
                      <w:sz w:val="18"/>
                    </w:rPr>
                  </w:pPr>
                  <w:r>
                    <w:rPr>
                      <w:sz w:val="18"/>
                    </w:rPr>
                    <w:t xml:space="preserve">2.</w:t>
                  </w:r>
                  <w:r>
                    <w:rPr>
                      <w:sz w:val="18"/>
                    </w:rPr>
                  </w:r>
                </w:p>
              </w:tc>
              <w:tc>
                <w:tcPr>
                  <w:tcBorders/>
                  <w:tcW w:w="8744" w:type="dxa"/>
                  <w:vAlign w:val="center"/>
                  <w:textDirection w:val="lrTb"/>
                  <w:noWrap w:val="false"/>
                </w:tcPr>
                <w:p>
                  <w:pPr>
                    <w:pBdr/>
                    <w:spacing w:line="240" w:lineRule="exact"/>
                    <w:ind/>
                    <w:rPr>
                      <w:sz w:val="18"/>
                    </w:rPr>
                  </w:pPr>
                  <w:r>
                    <w:rPr>
                      <w:sz w:val="18"/>
                    </w:rPr>
                    <w:t xml:space="preserve">Podrška u vođenju života, posebno: organizacija svakodnevne rutine, pomoć u sv</w:t>
                  </w:r>
                  <w:r>
                    <w:rPr>
                      <w:sz w:val="18"/>
                    </w:rPr>
                    <w:t xml:space="preserve">akodnevnim aktivnostima, </w:t>
                  </w:r>
                  <w:r>
                    <w:rPr>
                      <w:sz w:val="18"/>
                    </w:rPr>
                  </w:r>
                </w:p>
              </w:tc>
            </w:tr>
            <w:tr>
              <w:trPr>
                <w:tblCellSpacing w:w="15" w:type="dxa"/>
              </w:trPr>
              <w:tc>
                <w:tcPr>
                  <w:tcBorders/>
                  <w:tcW w:w="181" w:type="dxa"/>
                  <w:textDirection w:val="lrTb"/>
                  <w:noWrap w:val="false"/>
                </w:tcPr>
                <w:p>
                  <w:pPr>
                    <w:pBdr/>
                    <w:spacing w:line="240" w:lineRule="exact"/>
                    <w:ind/>
                    <w:rPr>
                      <w:sz w:val="18"/>
                    </w:rPr>
                  </w:pPr>
                  <w:r>
                    <w:rPr>
                      <w:sz w:val="18"/>
                    </w:rPr>
                    <w:t xml:space="preserve">3.</w:t>
                  </w:r>
                  <w:r>
                    <w:rPr>
                      <w:sz w:val="18"/>
                    </w:rPr>
                  </w:r>
                </w:p>
              </w:tc>
              <w:tc>
                <w:tcPr>
                  <w:tcBorders/>
                  <w:tcW w:w="8744" w:type="dxa"/>
                  <w:vAlign w:val="center"/>
                  <w:textDirection w:val="lrTb"/>
                  <w:noWrap w:val="false"/>
                </w:tcPr>
                <w:p>
                  <w:pPr>
                    <w:pBdr/>
                    <w:spacing w:line="240" w:lineRule="exact"/>
                    <w:ind/>
                    <w:rPr>
                      <w:sz w:val="18"/>
                    </w:rPr>
                  </w:pPr>
                  <w:r>
                    <w:rPr>
                      <w:sz w:val="18"/>
                    </w:rPr>
                    <w:t xml:space="preserve">Društvene aktivnosti, posebice: družiti se, razgovorarati, održavanje društvenih kontakata, podrška u raznim aktivnostima,</w:t>
                  </w:r>
                  <w:r>
                    <w:rPr>
                      <w:sz w:val="18"/>
                    </w:rPr>
                  </w:r>
                </w:p>
              </w:tc>
            </w:tr>
            <w:tr>
              <w:trPr>
                <w:tblCellSpacing w:w="15" w:type="dxa"/>
              </w:trPr>
              <w:tc>
                <w:tcPr>
                  <w:tcBorders/>
                  <w:tcW w:w="181" w:type="dxa"/>
                  <w:vAlign w:val="center"/>
                  <w:textDirection w:val="lrTb"/>
                  <w:noWrap w:val="false"/>
                </w:tcPr>
                <w:p>
                  <w:pPr>
                    <w:pBdr/>
                    <w:spacing w:line="240" w:lineRule="exact"/>
                    <w:ind/>
                    <w:rPr>
                      <w:sz w:val="18"/>
                    </w:rPr>
                  </w:pPr>
                  <w:r>
                    <w:rPr>
                      <w:sz w:val="18"/>
                    </w:rPr>
                    <w:t xml:space="preserve">4.</w:t>
                  </w:r>
                  <w:r>
                    <w:rPr>
                      <w:sz w:val="18"/>
                    </w:rPr>
                  </w:r>
                </w:p>
              </w:tc>
              <w:tc>
                <w:tcPr>
                  <w:tcBorders/>
                  <w:tcW w:w="8744" w:type="dxa"/>
                  <w:vAlign w:val="center"/>
                  <w:textDirection w:val="lrTb"/>
                  <w:noWrap w:val="false"/>
                </w:tcPr>
                <w:p>
                  <w:pPr>
                    <w:pBdr/>
                    <w:spacing w:line="240" w:lineRule="exact"/>
                    <w:ind/>
                    <w:rPr>
                      <w:sz w:val="18"/>
                    </w:rPr>
                  </w:pPr>
                  <w:r>
                    <w:rPr>
                      <w:sz w:val="18"/>
                    </w:rPr>
                    <w:t xml:space="preserve">Vođenje knjige kućanstava s evidencijom troškova nastalih za osobu o kojoj se brine</w:t>
                  </w:r>
                  <w:r>
                    <w:rPr>
                      <w:sz w:val="18"/>
                    </w:rPr>
                  </w:r>
                </w:p>
              </w:tc>
            </w:tr>
            <w:tr>
              <w:trPr>
                <w:tblCellSpacing w:w="15" w:type="dxa"/>
              </w:trPr>
              <w:tc>
                <w:tcPr>
                  <w:tcBorders/>
                  <w:tcW w:w="181" w:type="dxa"/>
                  <w:vAlign w:val="center"/>
                  <w:textDirection w:val="lrTb"/>
                  <w:noWrap w:val="false"/>
                </w:tcPr>
                <w:p>
                  <w:pPr>
                    <w:pBdr/>
                    <w:spacing w:line="240" w:lineRule="exact"/>
                    <w:ind/>
                    <w:rPr>
                      <w:sz w:val="18"/>
                    </w:rPr>
                  </w:pPr>
                  <w:r>
                    <w:rPr>
                      <w:sz w:val="18"/>
                    </w:rPr>
                    <w:t xml:space="preserve">5.</w:t>
                  </w:r>
                  <w:r>
                    <w:rPr>
                      <w:sz w:val="18"/>
                    </w:rPr>
                  </w:r>
                </w:p>
              </w:tc>
              <w:tc>
                <w:tcPr>
                  <w:tcBorders/>
                  <w:tcW w:w="8744" w:type="dxa"/>
                  <w:vAlign w:val="center"/>
                  <w:textDirection w:val="lrTb"/>
                  <w:noWrap w:val="false"/>
                </w:tcPr>
                <w:p>
                  <w:pPr>
                    <w:pBdr/>
                    <w:spacing w:line="240" w:lineRule="exact"/>
                    <w:ind/>
                    <w:rPr>
                      <w:sz w:val="18"/>
                    </w:rPr>
                  </w:pPr>
                  <w:r>
                    <w:rPr>
                      <w:sz w:val="18"/>
                    </w:rPr>
                    <w:t xml:space="preserve">praktična priprema osobe kojoj je potrebna skrb za promjenu lokacije</w:t>
                  </w:r>
                  <w:r>
                    <w:rPr>
                      <w:sz w:val="18"/>
                    </w:rPr>
                  </w:r>
                </w:p>
              </w:tc>
            </w:tr>
            <w:tr>
              <w:trPr>
                <w:tblCellSpacing w:w="15" w:type="dxa"/>
              </w:trPr>
              <w:tc>
                <w:tcPr>
                  <w:tcBorders/>
                  <w:tcW w:w="181" w:type="dxa"/>
                  <w:vAlign w:val="center"/>
                  <w:textDirection w:val="lrTb"/>
                  <w:noWrap w:val="false"/>
                </w:tcPr>
                <w:p>
                  <w:pPr>
                    <w:pBdr/>
                    <w:spacing w:line="240" w:lineRule="exact"/>
                    <w:ind/>
                    <w:rPr>
                      <w:sz w:val="18"/>
                    </w:rPr>
                  </w:pPr>
                  <w:r>
                    <w:rPr>
                      <w:sz w:val="18"/>
                    </w:rPr>
                    <w:t xml:space="preserve">6.</w:t>
                  </w:r>
                  <w:r>
                    <w:rPr>
                      <w:sz w:val="18"/>
                    </w:rPr>
                  </w:r>
                </w:p>
              </w:tc>
              <w:tc>
                <w:tcPr>
                  <w:tcBorders/>
                  <w:tcW w:w="8744" w:type="dxa"/>
                  <w:vAlign w:val="center"/>
                  <w:textDirection w:val="lrTb"/>
                  <w:noWrap w:val="false"/>
                </w:tcPr>
                <w:p>
                  <w:pPr>
                    <w:pBdr/>
                    <w:spacing w:line="240" w:lineRule="exact"/>
                    <w:ind/>
                    <w:rPr>
                      <w:sz w:val="18"/>
                    </w:rPr>
                  </w:pPr>
                  <w:r>
                    <w:rPr>
                      <w:sz w:val="18"/>
                    </w:rPr>
                    <w:t xml:space="preserve">Organizacija zastupanja u slučaju sprečavanja.</w:t>
                  </w:r>
                  <w:r>
                    <w:rPr>
                      <w:sz w:val="18"/>
                    </w:rPr>
                  </w:r>
                </w:p>
              </w:tc>
            </w:tr>
          </w:tbl>
          <w:p>
            <w:pPr>
              <w:pBdr/>
              <w:spacing w:line="240" w:lineRule="exact"/>
              <w:ind w:left="142"/>
              <w:rPr>
                <w:sz w:val="18"/>
              </w:rPr>
            </w:pPr>
            <w:r>
              <w:rPr>
                <w:sz w:val="18"/>
              </w:rPr>
              <w:t xml:space="preserve">(2) Djelatnost prema st. 1 Z 2 također vrijede one iz stavke 3b. 2 Z 1 do 5 Zakona o zdravstvenoj skrbi i njezi (GuKG), </w:t>
            </w:r>
            <w:hyperlink r:id="rId16" w:tooltip="https://www.ris.bka.gv.at/Dokumente/BgblPdf/1997_108_1/1997_108_1.pdf" w:history="1">
              <w:r>
                <w:rPr>
                  <w:rStyle w:val="888"/>
                  <w:rFonts w:cs="Arial"/>
                  <w:color w:val="auto"/>
                  <w:sz w:val="18"/>
                </w:rPr>
                <w:t xml:space="preserve">BGBl. I broj 108/1997</w:t>
              </w:r>
            </w:hyperlink>
            <w:r>
              <w:rPr>
                <w:sz w:val="18"/>
              </w:rPr>
              <w:t xml:space="preserve">, sve dok ne postoje okolnosti koje s medicinskog stajališta zahtijevaju naredbu člana više zdravstvene službe za nje</w:t>
            </w:r>
            <w:r>
              <w:rPr>
                <w:sz w:val="18"/>
              </w:rPr>
              <w:t xml:space="preserve">gu i negu od strane laika.</w:t>
            </w:r>
            <w:r>
              <w:rPr>
                <w:sz w:val="18"/>
              </w:rPr>
            </w:r>
          </w:p>
          <w:p>
            <w:pPr>
              <w:pBdr/>
              <w:spacing w:line="240" w:lineRule="exact"/>
              <w:ind w:left="142"/>
              <w:rPr>
                <w:sz w:val="18"/>
              </w:rPr>
            </w:pPr>
            <w:r>
              <w:rPr>
                <w:sz w:val="18"/>
              </w:rPr>
              <w:t xml:space="preserve">(3) Obrtnici koji obavljaju djelatnost osobne njege imaju pravo, u pojedinačnim slučajevima</w:t>
            </w:r>
            <w:r>
              <w:rPr>
                <w:sz w:val="18"/>
              </w:rPr>
            </w:r>
          </w:p>
          <w:tbl>
            <w:tblPr>
              <w:tblInd w:w="121" w:type="dxa"/>
              <w:tblW w:w="9140" w:type="dxa"/>
              <w:tblCellMar>
                <w:left w:w="15" w:type="dxa"/>
                <w:top w:w="15" w:type="dxa"/>
                <w:right w:w="15" w:type="dxa"/>
                <w:bottom w:w="15" w:type="dxa"/>
              </w:tblCellMar>
              <w:tblBorders/>
              <w:tblCellSpacing w:w="15" w:type="dxa"/>
              <w:tblLook w:val="04A0" w:firstRow="1" w:lastRow="0" w:firstColumn="1" w:lastColumn="0" w:noHBand="0" w:noVBand="1"/>
            </w:tblPr>
            <w:tblGrid>
              <w:gridCol w:w="187"/>
              <w:gridCol w:w="41"/>
              <w:gridCol w:w="116"/>
              <w:gridCol w:w="1081"/>
              <w:gridCol w:w="1081"/>
              <w:gridCol w:w="1079"/>
              <w:gridCol w:w="1079"/>
              <w:gridCol w:w="1079"/>
              <w:gridCol w:w="1079"/>
              <w:gridCol w:w="1079"/>
              <w:gridCol w:w="1079"/>
              <w:gridCol w:w="112"/>
              <w:gridCol w:w="48"/>
            </w:tblGrid>
            <w:tr>
              <w:trPr>
                <w:tblCellSpacing w:w="15" w:type="dxa"/>
              </w:trPr>
              <w:tc>
                <w:tcPr>
                  <w:tcBorders/>
                  <w:tcW w:w="50" w:type="dxa"/>
                  <w:vAlign w:val="center"/>
                  <w:textDirection w:val="lrTb"/>
                  <w:noWrap w:val="false"/>
                </w:tcPr>
                <w:p>
                  <w:pPr>
                    <w:pBdr/>
                    <w:spacing w:line="240" w:lineRule="exact"/>
                    <w:ind/>
                    <w:rPr>
                      <w:sz w:val="18"/>
                    </w:rPr>
                  </w:pPr>
                  <w:r>
                    <w:rPr>
                      <w:sz w:val="18"/>
                    </w:rPr>
                  </w:r>
                  <w:r>
                    <w:rPr>
                      <w:sz w:val="18"/>
                    </w:rPr>
                  </w:r>
                </w:p>
              </w:tc>
              <w:tc>
                <w:tcPr>
                  <w:gridSpan w:val="2"/>
                  <w:tcBorders/>
                  <w:tcW w:w="0" w:type="auto"/>
                  <w:vAlign w:val="center"/>
                  <w:textDirection w:val="lrTb"/>
                  <w:noWrap w:val="false"/>
                </w:tcPr>
                <w:p>
                  <w:pPr>
                    <w:pBdr/>
                    <w:spacing w:line="240" w:lineRule="exact"/>
                    <w:ind/>
                    <w:rPr>
                      <w:sz w:val="18"/>
                    </w:rPr>
                  </w:pPr>
                  <w:r>
                    <w:rPr>
                      <w:sz w:val="18"/>
                    </w:rPr>
                  </w:r>
                  <w:r>
                    <w:rPr>
                      <w:sz w:val="18"/>
                    </w:rPr>
                  </w:r>
                </w:p>
              </w:tc>
              <w:tc>
                <w:tcPr>
                  <w:tcBorders/>
                  <w:tcW w:w="0" w:type="auto"/>
                  <w:vAlign w:val="center"/>
                  <w:textDirection w:val="lrTb"/>
                  <w:noWrap w:val="false"/>
                </w:tcPr>
                <w:p>
                  <w:pPr>
                    <w:pBdr/>
                    <w:spacing w:line="240" w:lineRule="exact"/>
                    <w:ind/>
                    <w:rPr>
                      <w:sz w:val="18"/>
                    </w:rPr>
                  </w:pPr>
                  <w:r>
                    <w:rPr>
                      <w:sz w:val="18"/>
                    </w:rPr>
                  </w:r>
                  <w:r>
                    <w:rPr>
                      <w:sz w:val="18"/>
                    </w:rPr>
                  </w:r>
                </w:p>
              </w:tc>
              <w:tc>
                <w:tcPr>
                  <w:tcBorders/>
                  <w:tcW w:w="0" w:type="auto"/>
                  <w:vAlign w:val="center"/>
                  <w:textDirection w:val="lrTb"/>
                  <w:noWrap w:val="false"/>
                </w:tcPr>
                <w:p>
                  <w:pPr>
                    <w:pBdr/>
                    <w:spacing w:line="240" w:lineRule="exact"/>
                    <w:ind/>
                    <w:rPr>
                      <w:sz w:val="18"/>
                    </w:rPr>
                  </w:pPr>
                  <w:r>
                    <w:rPr>
                      <w:sz w:val="18"/>
                    </w:rPr>
                  </w:r>
                  <w:r>
                    <w:rPr>
                      <w:sz w:val="18"/>
                    </w:rPr>
                  </w:r>
                </w:p>
              </w:tc>
              <w:tc>
                <w:tcPr>
                  <w:tcBorders/>
                  <w:tcW w:w="0" w:type="auto"/>
                  <w:vAlign w:val="center"/>
                  <w:textDirection w:val="lrTb"/>
                  <w:noWrap w:val="false"/>
                </w:tcPr>
                <w:p>
                  <w:pPr>
                    <w:pBdr/>
                    <w:spacing w:line="240" w:lineRule="exact"/>
                    <w:ind/>
                    <w:rPr>
                      <w:sz w:val="18"/>
                    </w:rPr>
                  </w:pPr>
                  <w:r>
                    <w:rPr>
                      <w:sz w:val="18"/>
                    </w:rPr>
                  </w:r>
                  <w:r>
                    <w:rPr>
                      <w:sz w:val="18"/>
                    </w:rPr>
                  </w:r>
                </w:p>
              </w:tc>
              <w:tc>
                <w:tcPr>
                  <w:tcBorders/>
                  <w:tcW w:w="0" w:type="auto"/>
                  <w:vAlign w:val="center"/>
                  <w:textDirection w:val="lrTb"/>
                  <w:noWrap w:val="false"/>
                </w:tcPr>
                <w:p>
                  <w:pPr>
                    <w:pBdr/>
                    <w:spacing w:line="240" w:lineRule="exact"/>
                    <w:ind/>
                    <w:rPr>
                      <w:sz w:val="18"/>
                    </w:rPr>
                  </w:pPr>
                  <w:r>
                    <w:rPr>
                      <w:sz w:val="18"/>
                    </w:rPr>
                  </w:r>
                  <w:r>
                    <w:rPr>
                      <w:sz w:val="18"/>
                    </w:rPr>
                  </w:r>
                </w:p>
              </w:tc>
              <w:tc>
                <w:tcPr>
                  <w:tcBorders/>
                  <w:tcW w:w="0" w:type="auto"/>
                  <w:vAlign w:val="center"/>
                  <w:textDirection w:val="lrTb"/>
                  <w:noWrap w:val="false"/>
                </w:tcPr>
                <w:p>
                  <w:pPr>
                    <w:pBdr/>
                    <w:spacing w:line="240" w:lineRule="exact"/>
                    <w:ind/>
                    <w:rPr>
                      <w:sz w:val="18"/>
                    </w:rPr>
                  </w:pPr>
                  <w:r>
                    <w:rPr>
                      <w:sz w:val="18"/>
                    </w:rPr>
                  </w:r>
                  <w:r>
                    <w:rPr>
                      <w:sz w:val="18"/>
                    </w:rPr>
                  </w:r>
                </w:p>
              </w:tc>
              <w:tc>
                <w:tcPr>
                  <w:tcBorders/>
                  <w:tcW w:w="0" w:type="auto"/>
                  <w:vAlign w:val="center"/>
                  <w:textDirection w:val="lrTb"/>
                  <w:noWrap w:val="false"/>
                </w:tcPr>
                <w:p>
                  <w:pPr>
                    <w:pBdr/>
                    <w:spacing w:line="240" w:lineRule="exact"/>
                    <w:ind/>
                    <w:rPr>
                      <w:sz w:val="18"/>
                    </w:rPr>
                  </w:pPr>
                  <w:r>
                    <w:rPr>
                      <w:sz w:val="18"/>
                    </w:rPr>
                  </w:r>
                  <w:r>
                    <w:rPr>
                      <w:sz w:val="18"/>
                    </w:rPr>
                  </w:r>
                </w:p>
              </w:tc>
              <w:tc>
                <w:tcPr>
                  <w:tcBorders/>
                  <w:tcW w:w="0" w:type="auto"/>
                  <w:vAlign w:val="center"/>
                  <w:textDirection w:val="lrTb"/>
                  <w:noWrap w:val="false"/>
                </w:tcPr>
                <w:p>
                  <w:pPr>
                    <w:pBdr/>
                    <w:spacing w:line="240" w:lineRule="exact"/>
                    <w:ind/>
                    <w:rPr>
                      <w:sz w:val="18"/>
                    </w:rPr>
                  </w:pPr>
                  <w:r>
                    <w:rPr>
                      <w:sz w:val="18"/>
                    </w:rPr>
                  </w:r>
                  <w:r>
                    <w:rPr>
                      <w:sz w:val="18"/>
                    </w:rPr>
                  </w:r>
                </w:p>
              </w:tc>
              <w:tc>
                <w:tcPr>
                  <w:tcBorders/>
                  <w:tcW w:w="0" w:type="auto"/>
                  <w:vAlign w:val="center"/>
                  <w:textDirection w:val="lrTb"/>
                  <w:noWrap w:val="false"/>
                </w:tcPr>
                <w:p>
                  <w:pPr>
                    <w:pBdr/>
                    <w:spacing w:line="240" w:lineRule="exact"/>
                    <w:ind/>
                    <w:rPr>
                      <w:sz w:val="18"/>
                    </w:rPr>
                  </w:pPr>
                  <w:r>
                    <w:rPr>
                      <w:sz w:val="18"/>
                    </w:rPr>
                  </w:r>
                  <w:r>
                    <w:rPr>
                      <w:sz w:val="18"/>
                    </w:rPr>
                  </w:r>
                </w:p>
              </w:tc>
              <w:tc>
                <w:tcPr>
                  <w:gridSpan w:val="2"/>
                  <w:tcBorders/>
                  <w:tcW w:w="0" w:type="auto"/>
                  <w:vAlign w:val="center"/>
                  <w:textDirection w:val="lrTb"/>
                  <w:noWrap w:val="false"/>
                </w:tcPr>
                <w:p>
                  <w:pPr>
                    <w:pBdr/>
                    <w:spacing w:line="240" w:lineRule="exact"/>
                    <w:ind/>
                    <w:rPr>
                      <w:sz w:val="18"/>
                    </w:rPr>
                  </w:pPr>
                  <w:r>
                    <w:rPr>
                      <w:sz w:val="18"/>
                    </w:rPr>
                  </w:r>
                  <w:r>
                    <w:rPr>
                      <w:sz w:val="18"/>
                    </w:rPr>
                  </w:r>
                </w:p>
              </w:tc>
            </w:tr>
            <w:tr>
              <w:trPr>
                <w:gridAfter w:val="1"/>
                <w:tblCellSpacing w:w="15" w:type="dxa"/>
              </w:trPr>
              <w:tc>
                <w:tcPr>
                  <w:gridSpan w:val="2"/>
                  <w:tcBorders/>
                  <w:tcW w:w="61" w:type="dxa"/>
                  <w:vAlign w:val="center"/>
                  <w:textDirection w:val="lrTb"/>
                  <w:noWrap w:val="false"/>
                </w:tcPr>
                <w:p>
                  <w:pPr>
                    <w:pBdr/>
                    <w:spacing w:line="240" w:lineRule="exact"/>
                    <w:ind/>
                    <w:rPr>
                      <w:sz w:val="18"/>
                    </w:rPr>
                  </w:pPr>
                  <w:r>
                    <w:rPr>
                      <w:sz w:val="18"/>
                    </w:rPr>
                    <w:t xml:space="preserve">1.</w:t>
                  </w:r>
                  <w:r>
                    <w:rPr>
                      <w:sz w:val="18"/>
                    </w:rPr>
                  </w:r>
                </w:p>
              </w:tc>
              <w:tc>
                <w:tcPr>
                  <w:gridSpan w:val="10"/>
                  <w:tcBorders/>
                  <w:tcW w:w="0" w:type="auto"/>
                  <w:vAlign w:val="center"/>
                  <w:textDirection w:val="lrTb"/>
                  <w:noWrap w:val="false"/>
                </w:tcPr>
                <w:p>
                  <w:pPr>
                    <w:pBdr/>
                    <w:spacing w:line="240" w:lineRule="exact"/>
                    <w:ind/>
                    <w:rPr>
                      <w:sz w:val="18"/>
                    </w:rPr>
                  </w:pPr>
                  <w:r>
                    <w:rPr>
                      <w:sz w:val="18"/>
                    </w:rPr>
                    <w:t xml:space="preserve">u skladu s § 3b GuKG pojedinačne sestrinske aktivnosti i</w:t>
                  </w:r>
                  <w:r>
                    <w:rPr>
                      <w:sz w:val="18"/>
                    </w:rPr>
                  </w:r>
                </w:p>
              </w:tc>
            </w:tr>
            <w:tr>
              <w:trPr>
                <w:gridAfter w:val="1"/>
                <w:tblCellSpacing w:w="15" w:type="dxa"/>
              </w:trPr>
              <w:tc>
                <w:tcPr>
                  <w:gridSpan w:val="2"/>
                  <w:tcBorders/>
                  <w:tcW w:w="61" w:type="dxa"/>
                  <w:vAlign w:val="center"/>
                  <w:textDirection w:val="lrTb"/>
                  <w:noWrap w:val="false"/>
                </w:tcPr>
                <w:p>
                  <w:pPr>
                    <w:pBdr/>
                    <w:spacing w:line="240" w:lineRule="exact"/>
                    <w:ind/>
                    <w:rPr>
                      <w:sz w:val="18"/>
                    </w:rPr>
                  </w:pPr>
                  <w:r>
                    <w:rPr>
                      <w:sz w:val="18"/>
                    </w:rPr>
                    <w:t xml:space="preserve">2.</w:t>
                  </w:r>
                  <w:r>
                    <w:rPr>
                      <w:sz w:val="18"/>
                    </w:rPr>
                  </w:r>
                </w:p>
              </w:tc>
              <w:tc>
                <w:tcPr>
                  <w:gridSpan w:val="10"/>
                  <w:tcBorders/>
                  <w:tcW w:w="0" w:type="auto"/>
                  <w:vAlign w:val="center"/>
                  <w:textDirection w:val="lrTb"/>
                  <w:noWrap w:val="false"/>
                </w:tcPr>
                <w:p>
                  <w:pPr>
                    <w:pBdr/>
                    <w:spacing w:line="240" w:lineRule="exact"/>
                    <w:ind/>
                    <w:rPr>
                      <w:sz w:val="18"/>
                    </w:rPr>
                  </w:pPr>
                  <w:r>
                    <w:rPr>
                      <w:sz w:val="18"/>
                    </w:rPr>
                    <w:t xml:space="preserve">sukladno § 50b zakon o liječnicima 1998., BGBl. I br. </w:t>
                  </w:r>
                  <w:r>
                    <w:rPr>
                      <w:sz w:val="18"/>
                    </w:rPr>
                    <w:t xml:space="preserve">169, i § 15 st. 7 GuKG individualne medicinske aktivnosti</w:t>
                  </w:r>
                  <w:r>
                    <w:rPr>
                      <w:sz w:val="18"/>
                    </w:rPr>
                  </w:r>
                </w:p>
              </w:tc>
            </w:tr>
            <w:tr>
              <w:trPr>
                <w:gridAfter w:val="1"/>
                <w:tblCellSpacing w:w="15" w:type="dxa"/>
              </w:trPr>
              <w:tc>
                <w:tcPr>
                  <w:gridSpan w:val="12"/>
                  <w:tcBorders/>
                  <w:tcW w:w="9000" w:type="dxa"/>
                  <w:vAlign w:val="center"/>
                  <w:textDirection w:val="lrTb"/>
                  <w:noWrap w:val="false"/>
                </w:tcPr>
                <w:p>
                  <w:pPr>
                    <w:pBdr/>
                    <w:spacing w:line="240" w:lineRule="exact"/>
                    <w:ind/>
                    <w:rPr>
                      <w:sz w:val="18"/>
                    </w:rPr>
                  </w:pPr>
                  <w:r>
                    <w:rPr>
                      <w:sz w:val="18"/>
                    </w:rPr>
                    <w:t xml:space="preserve">izvršavati nad osobom za skrb ako ih obrtnik uglavnom ne osigura.</w:t>
                  </w:r>
                  <w:r>
                    <w:rPr>
                      <w:sz w:val="18"/>
                    </w:rPr>
                  </w:r>
                </w:p>
              </w:tc>
            </w:tr>
          </w:tbl>
          <w:p>
            <w:pPr>
              <w:pBdr/>
              <w:spacing w:line="240" w:lineRule="exact"/>
              <w:ind/>
              <w:jc w:val="center"/>
              <w:rPr>
                <w:b/>
                <w:sz w:val="18"/>
              </w:rPr>
            </w:pPr>
            <w:r>
              <w:rPr>
                <w:b/>
                <w:sz w:val="18"/>
              </w:rPr>
              <w:t xml:space="preserve">Osiguranje kvalitete za osobnu njegu</w:t>
            </w:r>
            <w:r>
              <w:rPr>
                <w:b/>
                <w:sz w:val="18"/>
              </w:rPr>
            </w:r>
          </w:p>
          <w:p>
            <w:pPr>
              <w:pBdr/>
              <w:spacing w:line="240" w:lineRule="exact"/>
              <w:ind/>
              <w:rPr>
                <w:sz w:val="18"/>
              </w:rPr>
            </w:pPr>
            <w:r>
              <w:rPr>
                <w:sz w:val="18"/>
              </w:rPr>
              <w:t xml:space="preserve">§ 160.</w:t>
            </w:r>
            <w:r>
              <w:rPr>
                <w:sz w:val="18"/>
              </w:rPr>
            </w:r>
          </w:p>
          <w:p>
            <w:pPr>
              <w:pBdr/>
              <w:spacing w:line="240" w:lineRule="exact"/>
              <w:ind w:left="142"/>
              <w:rPr>
                <w:sz w:val="18"/>
              </w:rPr>
            </w:pPr>
            <w:r>
              <w:rPr>
                <w:sz w:val="18"/>
              </w:rPr>
              <w:t xml:space="preserve">(1) Obrtnici navedeni u odjeljcima 159 i 161 dužni su čuvati </w:t>
            </w:r>
            <w:r>
              <w:rPr>
                <w:sz w:val="18"/>
              </w:rPr>
              <w:t xml:space="preserve">povjerljivost svih pitanja koja su im povjerena ili postala poznata tijekom rada. Ova dužnost povjerljivosti ne postoji ako ih osoba u kojoj je potrebna skrb ili njihov zakonski zastupnik izričito oslobodi te obveze. Ukoliko su obrtnici oslobođeni obveze p</w:t>
            </w:r>
            <w:r>
              <w:rPr>
                <w:sz w:val="18"/>
              </w:rPr>
              <w:t xml:space="preserve">ružanja potvrde za uvid u poslovne dokumente ili pružanja informacija o stvarima koje su im poznate u toku njihove struke u sudskim ili upravnim postupcima, uređuju se odgovarajućim zakonskim odredbama. Gore navedene odredbe vrijede jednako i za djelatnike</w:t>
            </w:r>
            <w:r>
              <w:rPr>
                <w:sz w:val="18"/>
              </w:rPr>
              <w:t xml:space="preserve"> obrtnika.</w:t>
            </w:r>
            <w:r>
              <w:rPr>
                <w:sz w:val="18"/>
              </w:rPr>
            </w:r>
          </w:p>
          <w:p>
            <w:pPr>
              <w:pBdr/>
              <w:spacing w:line="240" w:lineRule="exact"/>
              <w:ind w:left="142"/>
              <w:rPr>
                <w:sz w:val="18"/>
              </w:rPr>
            </w:pPr>
            <w:r>
              <w:rPr>
                <w:sz w:val="18"/>
              </w:rPr>
              <w:t xml:space="preserve">(2) Obrtnici imenovani u § 159 imaju</w:t>
            </w:r>
            <w:r>
              <w:rPr>
                <w:sz w:val="18"/>
              </w:rPr>
            </w:r>
          </w:p>
          <w:tbl>
            <w:tblPr>
              <w:tblInd w:w="142" w:type="dxa"/>
              <w:tblW w:w="9130" w:type="dxa"/>
              <w:tblCellMar>
                <w:left w:w="15" w:type="dxa"/>
                <w:top w:w="15" w:type="dxa"/>
                <w:right w:w="15" w:type="dxa"/>
                <w:bottom w:w="15" w:type="dxa"/>
              </w:tblCellMar>
              <w:tblBorders/>
              <w:tblCellSpacing w:w="15" w:type="dxa"/>
              <w:tblLook w:val="04A0" w:firstRow="1" w:lastRow="0" w:firstColumn="1" w:lastColumn="0" w:noHBand="0" w:noVBand="1"/>
            </w:tblPr>
            <w:tblGrid>
              <w:gridCol w:w="226"/>
              <w:gridCol w:w="8904"/>
            </w:tblGrid>
            <w:tr>
              <w:trPr>
                <w:tblCellSpacing w:w="15" w:type="dxa"/>
              </w:trPr>
              <w:tc>
                <w:tcPr>
                  <w:tcBorders/>
                  <w:tcW w:w="50" w:type="dxa"/>
                  <w:textDirection w:val="lrTb"/>
                  <w:noWrap w:val="false"/>
                </w:tcPr>
                <w:p>
                  <w:pPr>
                    <w:pBdr/>
                    <w:spacing w:line="240" w:lineRule="exact"/>
                    <w:ind/>
                    <w:rPr>
                      <w:sz w:val="18"/>
                    </w:rPr>
                  </w:pPr>
                  <w:r>
                    <w:rPr>
                      <w:sz w:val="18"/>
                    </w:rPr>
                    <w:t xml:space="preserve">1.</w:t>
                  </w:r>
                  <w:r>
                    <w:rPr>
                      <w:sz w:val="18"/>
                    </w:rPr>
                  </w:r>
                </w:p>
              </w:tc>
              <w:tc>
                <w:tcPr>
                  <w:tcBorders/>
                  <w:tcW w:w="0" w:type="auto"/>
                  <w:vAlign w:val="center"/>
                  <w:textDirection w:val="lrTb"/>
                  <w:noWrap w:val="false"/>
                </w:tcPr>
                <w:p>
                  <w:pPr>
                    <w:pBdr/>
                    <w:spacing w:line="240" w:lineRule="exact"/>
                    <w:ind/>
                    <w:rPr>
                      <w:sz w:val="18"/>
                    </w:rPr>
                  </w:pPr>
                  <w:r>
                    <w:rPr>
                      <w:sz w:val="18"/>
                    </w:rPr>
                    <w:t xml:space="preserve">obvezu zaključiti ugovor sa osobom kojoj je potrebna skrb ili njihovim zakonskim zastupnikom o smjernicama za svakodnevne i hitne radnje, posebno u vezi s komunikacijom ili uključivanjem rodbine, liječnika</w:t>
                  </w:r>
                  <w:r>
                    <w:rPr>
                      <w:sz w:val="18"/>
                    </w:rPr>
                    <w:t xml:space="preserve"> ili ustanove koja nudi mobilne usluge u slučaju vidljivog pogoršanja stanja i</w:t>
                  </w:r>
                  <w:r>
                    <w:rPr>
                      <w:sz w:val="18"/>
                    </w:rPr>
                  </w:r>
                </w:p>
              </w:tc>
            </w:tr>
            <w:tr>
              <w:trPr>
                <w:tblCellSpacing w:w="15" w:type="dxa"/>
              </w:trPr>
              <w:tc>
                <w:tcPr>
                  <w:tcBorders/>
                  <w:tcW w:w="50" w:type="dxa"/>
                  <w:textDirection w:val="lrTb"/>
                  <w:noWrap w:val="false"/>
                </w:tcPr>
                <w:p>
                  <w:pPr>
                    <w:pBdr/>
                    <w:spacing w:line="240" w:lineRule="exact"/>
                    <w:ind/>
                    <w:rPr>
                      <w:sz w:val="18"/>
                    </w:rPr>
                  </w:pPr>
                  <w:r>
                    <w:rPr>
                      <w:sz w:val="18"/>
                    </w:rPr>
                    <w:t xml:space="preserve">2.</w:t>
                  </w:r>
                  <w:r>
                    <w:rPr>
                      <w:sz w:val="18"/>
                    </w:rPr>
                  </w:r>
                </w:p>
              </w:tc>
              <w:tc>
                <w:tcPr>
                  <w:tcBorders/>
                  <w:tcW w:w="0" w:type="auto"/>
                  <w:vAlign w:val="center"/>
                  <w:textDirection w:val="lrTb"/>
                  <w:noWrap w:val="false"/>
                </w:tcPr>
                <w:p>
                  <w:pPr>
                    <w:pBdr/>
                    <w:spacing w:line="240" w:lineRule="exact"/>
                    <w:ind/>
                    <w:rPr>
                      <w:sz w:val="18"/>
                    </w:rPr>
                  </w:pPr>
                  <w:r>
                    <w:rPr>
                      <w:sz w:val="18"/>
                    </w:rPr>
                    <w:t xml:space="preserve">čuvati knjigu kućanstava i držati je zajedno s zbirkom računa tijekom dvije godine.</w:t>
                  </w:r>
                  <w:r>
                    <w:rPr>
                      <w:sz w:val="18"/>
                    </w:rPr>
                  </w:r>
                </w:p>
              </w:tc>
            </w:tr>
          </w:tbl>
          <w:p>
            <w:pPr>
              <w:pBdr/>
              <w:spacing w:line="240" w:lineRule="exact"/>
              <w:ind/>
              <w:jc w:val="center"/>
              <w:rPr>
                <w:b/>
                <w:sz w:val="18"/>
              </w:rPr>
            </w:pPr>
            <w:r>
              <w:rPr>
                <w:b/>
                <w:sz w:val="18"/>
              </w:rPr>
              <w:t xml:space="preserve">Organizacija skrbi za osobe</w:t>
            </w:r>
            <w:r>
              <w:rPr>
                <w:b/>
                <w:sz w:val="18"/>
              </w:rPr>
            </w:r>
          </w:p>
          <w:p>
            <w:pPr>
              <w:pBdr/>
              <w:spacing w:line="240" w:lineRule="exact"/>
              <w:ind/>
              <w:rPr>
                <w:sz w:val="18"/>
              </w:rPr>
            </w:pPr>
            <w:r>
              <w:rPr>
                <w:sz w:val="18"/>
              </w:rPr>
              <w:t xml:space="preserve">§ 161. </w:t>
            </w:r>
            <w:r>
              <w:rPr>
                <w:sz w:val="18"/>
              </w:rPr>
            </w:r>
          </w:p>
          <w:p>
            <w:pPr>
              <w:pBdr/>
              <w:spacing w:line="240" w:lineRule="exact"/>
              <w:ind w:left="142"/>
              <w:rPr>
                <w:sz w:val="18"/>
              </w:rPr>
            </w:pPr>
            <w:r>
              <w:rPr>
                <w:sz w:val="18"/>
              </w:rPr>
              <w:t xml:space="preserve">(1) Poslovna dozvola za organiziranje osobne </w:t>
            </w:r>
            <w:r>
              <w:rPr>
                <w:sz w:val="18"/>
              </w:rPr>
              <w:t xml:space="preserve">njege potrebna je za posredovanje obrtnika koji obavljaju djelatnost osobne njege osobama kojima je potrebna skrb.</w:t>
            </w:r>
            <w:r>
              <w:rPr>
                <w:sz w:val="18"/>
              </w:rPr>
            </w:r>
          </w:p>
          <w:p>
            <w:pPr>
              <w:pBdr/>
              <w:spacing w:after="120" w:line="240" w:lineRule="exact"/>
              <w:ind w:left="142"/>
              <w:rPr>
                <w:sz w:val="18"/>
              </w:rPr>
            </w:pPr>
            <w:r>
              <w:rPr>
                <w:sz w:val="18"/>
              </w:rPr>
              <w:t xml:space="preserve">(2) Područje djelovanja organizacije skrbi za osobe obuhvaća i savjete i podršku poslovanju navedenom u stavku 1.</w:t>
            </w:r>
            <w:r>
              <w:rPr>
                <w:sz w:val="18"/>
              </w:rPr>
            </w:r>
          </w:p>
        </w:tc>
      </w:tr>
      <w:tr>
        <w:trPr>
          <w:trHeight w:val="1548"/>
        </w:trPr>
        <w:tc>
          <w:tcPr>
            <w:shd w:val="clear" w:color="auto" w:fill="auto"/>
            <w:tcBorders/>
            <w:tcW w:w="9382" w:type="dxa"/>
            <w:textDirection w:val="lrTb"/>
            <w:noWrap w:val="false"/>
          </w:tcPr>
          <w:p>
            <w:pPr>
              <w:numPr>
                <w:ilvl w:val="0"/>
                <w:numId w:val="2"/>
              </w:numPr>
              <w:pBdr/>
              <w:spacing w:after="120" w:before="120" w:line="240" w:lineRule="exact"/>
              <w:ind w:hanging="284" w:left="284"/>
              <w:rPr>
                <w:b/>
                <w:sz w:val="20"/>
              </w:rPr>
            </w:pPr>
            <w:r>
              <w:rPr>
                <w:b/>
                <w:sz w:val="20"/>
              </w:rPr>
              <w:t xml:space="preserve">Pravilnik o statusu i prav</w:t>
            </w:r>
            <w:r>
              <w:rPr>
                <w:b/>
                <w:sz w:val="20"/>
              </w:rPr>
              <w:t xml:space="preserve">ilima ponašanja za usluge osobne njege sa izmjenama i dopunama. BGBl. II broj 396/2015</w:t>
            </w:r>
            <w:r>
              <w:rPr>
                <w:b/>
                <w:sz w:val="20"/>
              </w:rPr>
            </w:r>
          </w:p>
          <w:p>
            <w:pPr>
              <w:pBdr/>
              <w:spacing w:line="240" w:lineRule="exact"/>
              <w:ind/>
              <w:jc w:val="center"/>
              <w:rPr>
                <w:b/>
                <w:sz w:val="18"/>
              </w:rPr>
            </w:pPr>
            <w:r>
              <w:rPr>
                <w:b/>
                <w:sz w:val="18"/>
              </w:rPr>
              <w:t xml:space="preserve">Pravila izvršavanja</w:t>
            </w:r>
            <w:r>
              <w:rPr>
                <w:b/>
                <w:sz w:val="18"/>
              </w:rPr>
            </w:r>
          </w:p>
          <w:p>
            <w:pPr>
              <w:pBdr/>
              <w:spacing w:line="240" w:lineRule="exact"/>
              <w:ind/>
              <w:rPr>
                <w:sz w:val="18"/>
              </w:rPr>
            </w:pPr>
            <w:r>
              <w:rPr>
                <w:sz w:val="18"/>
              </w:rPr>
              <w:t xml:space="preserve">Članak 1. </w:t>
            </w:r>
            <w:r>
              <w:rPr>
                <w:sz w:val="18"/>
              </w:rPr>
            </w:r>
          </w:p>
          <w:p>
            <w:pPr>
              <w:pBdr/>
              <w:spacing w:line="240" w:lineRule="exact"/>
              <w:ind w:left="142"/>
              <w:rPr>
                <w:sz w:val="18"/>
              </w:rPr>
            </w:pPr>
            <w:r>
              <w:rPr>
                <w:sz w:val="18"/>
              </w:rPr>
              <w:t xml:space="preserve">(1) Obrtnici koji se bave osobnom skrbi moraju pri obavljanju svog posla voditi brigu o dobrobiti osobe za koju se brinu i ne smiju zloupo</w:t>
            </w:r>
            <w:r>
              <w:rPr>
                <w:sz w:val="18"/>
              </w:rPr>
              <w:t xml:space="preserve">trijebiti svoj profesionalni položaj radi stjecanja osobnih prednosti, poput nedovoljnog posredovanja ili neželjenog zaključivanja posla. Konkretno, zabranjeno im je prihvaćanje usluga bez ekvivalentne naknade.</w:t>
            </w:r>
            <w:r>
              <w:rPr>
                <w:sz w:val="18"/>
              </w:rPr>
            </w:r>
          </w:p>
          <w:p>
            <w:pPr>
              <w:pBdr/>
              <w:spacing w:line="240" w:lineRule="exact"/>
              <w:ind w:left="142"/>
              <w:rPr>
                <w:sz w:val="18"/>
              </w:rPr>
            </w:pPr>
            <w:r>
              <w:rPr>
                <w:sz w:val="18"/>
              </w:rPr>
              <w:t xml:space="preserve">(2) Stavak iz st. 1 spomenuti trgovci </w:t>
            </w:r>
            <w:r>
              <w:rPr>
                <w:sz w:val="18"/>
              </w:rPr>
              <w:t xml:space="preserve">moraju voditi računa o principima ekonomičnosti, ekonomičnosti i praktičnosti prilikom pravljenja naloga za osobu o kojoj treba brinuti.</w:t>
            </w:r>
            <w:r>
              <w:rPr>
                <w:sz w:val="18"/>
              </w:rPr>
            </w:r>
          </w:p>
          <w:p>
            <w:pPr>
              <w:pBdr/>
              <w:spacing w:line="240" w:lineRule="exact"/>
              <w:ind w:left="142"/>
              <w:rPr>
                <w:sz w:val="18"/>
              </w:rPr>
            </w:pPr>
            <w:r>
              <w:rPr>
                <w:sz w:val="18"/>
              </w:rPr>
              <w:t xml:space="preserve">(3) Posjećivanje privatnih osoba radi prikupljanja narudžbi za usluge u industriji osobne njege dopušteno je samo na iz</w:t>
            </w:r>
            <w:r>
              <w:rPr>
                <w:sz w:val="18"/>
              </w:rPr>
              <w:t xml:space="preserve">ričiti zahtjev obrtnika koji je ovlašten obavljati poslove njege. Zaprimanje narudžbi za takve usluge dopušteno je samo u poslovnom prostoru ili prigodom dopuštenog posjećivanja u skladu s prethodnom dogovorom.</w:t>
            </w:r>
            <w:r>
              <w:rPr>
                <w:sz w:val="18"/>
              </w:rPr>
            </w:r>
          </w:p>
          <w:p>
            <w:pPr>
              <w:pBdr/>
              <w:spacing w:line="240" w:lineRule="exact"/>
              <w:ind w:left="142"/>
              <w:rPr>
                <w:sz w:val="18"/>
              </w:rPr>
            </w:pPr>
            <w:r>
              <w:rPr>
                <w:sz w:val="18"/>
              </w:rPr>
              <w:t xml:space="preserve">(4) Usluge koje se pružaju moraju biti primje</w:t>
            </w:r>
            <w:r>
              <w:rPr>
                <w:sz w:val="18"/>
              </w:rPr>
              <w:t xml:space="preserve">reno i redovito dokumentirane te dostupne objema stranama ugovora i zdravstvenim radnicima koji njeguju i liječe osobu.</w:t>
            </w:r>
            <w:r>
              <w:rPr>
                <w:sz w:val="18"/>
              </w:rPr>
            </w:r>
          </w:p>
          <w:p>
            <w:pPr>
              <w:pBdr/>
              <w:spacing w:line="240" w:lineRule="exact"/>
              <w:ind/>
              <w:rPr>
                <w:b/>
                <w:sz w:val="18"/>
              </w:rPr>
            </w:pPr>
            <w:r>
              <w:rPr>
                <w:b/>
                <w:sz w:val="18"/>
              </w:rPr>
            </w:r>
            <w:r>
              <w:rPr>
                <w:b/>
                <w:sz w:val="18"/>
              </w:rPr>
            </w:r>
          </w:p>
          <w:p>
            <w:pPr>
              <w:pBdr/>
              <w:spacing w:line="240" w:lineRule="exact"/>
              <w:ind/>
              <w:rPr>
                <w:sz w:val="18"/>
              </w:rPr>
            </w:pPr>
            <w:r>
              <w:rPr>
                <w:sz w:val="18"/>
              </w:rPr>
              <w:t xml:space="preserve">§ 2. </w:t>
            </w:r>
            <w:r>
              <w:rPr>
                <w:sz w:val="18"/>
              </w:rPr>
            </w:r>
          </w:p>
          <w:p>
            <w:pPr>
              <w:pBdr/>
              <w:spacing w:line="240" w:lineRule="exact"/>
              <w:ind w:left="142"/>
              <w:rPr>
                <w:sz w:val="18"/>
              </w:rPr>
            </w:pPr>
            <w:r>
              <w:rPr>
                <w:sz w:val="18"/>
              </w:rPr>
              <w:t xml:space="preserve">(1) U stavku 1. st. 1 gore navedeni trgovci moraju sklopiti ugovor o njezi u pisanom obliku o uslugama njege osoba i pismeno obav</w:t>
            </w:r>
            <w:r>
              <w:rPr>
                <w:sz w:val="18"/>
              </w:rPr>
              <w:t xml:space="preserve">ijestiti zainteresirane strane prije potpisivanja ugovora o svim važnim stvarima za zaključenje ugovora, posebno o prihvatljivim sadržajima usluge i cijeni. U svakom oglasu morate navesti gdje se te informacije mogu zatražiti.</w:t>
            </w:r>
            <w:r>
              <w:rPr>
                <w:sz w:val="18"/>
              </w:rPr>
            </w:r>
          </w:p>
          <w:p>
            <w:pPr>
              <w:pBdr/>
              <w:spacing w:line="240" w:lineRule="exact"/>
              <w:ind w:left="142"/>
              <w:rPr>
                <w:sz w:val="18"/>
              </w:rPr>
            </w:pPr>
            <w:r>
              <w:rPr>
                <w:sz w:val="18"/>
              </w:rPr>
              <w:t xml:space="preserve">(2) U stavku 1 Spomenuti ugov</w:t>
            </w:r>
            <w:r>
              <w:rPr>
                <w:sz w:val="18"/>
              </w:rPr>
              <w:t xml:space="preserve">or o njezi mora biti potpisan od strane ugovornog partnera i mora sadržavati sljedeći minimalni sadržaj:</w:t>
            </w:r>
            <w:r>
              <w:rPr>
                <w:sz w:val="18"/>
              </w:rPr>
            </w:r>
          </w:p>
          <w:tbl>
            <w:tblPr>
              <w:tblInd w:w="121" w:type="dxa"/>
              <w:tblW w:w="9170" w:type="dxa"/>
              <w:tblCellMar>
                <w:left w:w="15" w:type="dxa"/>
                <w:top w:w="15" w:type="dxa"/>
                <w:right w:w="15" w:type="dxa"/>
                <w:bottom w:w="15" w:type="dxa"/>
              </w:tblCellMar>
              <w:tblBorders/>
              <w:tblCellSpacing w:w="15" w:type="dxa"/>
              <w:tblLook w:val="04A0" w:firstRow="1" w:lastRow="0" w:firstColumn="1" w:lastColumn="0" w:noHBand="0" w:noVBand="1"/>
            </w:tblPr>
            <w:tblGrid>
              <w:gridCol w:w="227"/>
              <w:gridCol w:w="8943"/>
            </w:tblGrid>
            <w:tr>
              <w:trPr>
                <w:tblCellSpacing w:w="15" w:type="dxa"/>
              </w:trPr>
              <w:tc>
                <w:tcPr>
                  <w:tcBorders/>
                  <w:tcW w:w="182" w:type="dxa"/>
                  <w:textDirection w:val="lrTb"/>
                  <w:noWrap w:val="false"/>
                </w:tcPr>
                <w:p>
                  <w:pPr>
                    <w:pBdr/>
                    <w:spacing w:line="240" w:lineRule="exact"/>
                    <w:ind/>
                    <w:rPr>
                      <w:sz w:val="18"/>
                    </w:rPr>
                  </w:pPr>
                  <w:r>
                    <w:rPr>
                      <w:sz w:val="18"/>
                    </w:rPr>
                    <w:t xml:space="preserve">1.</w:t>
                  </w:r>
                  <w:r>
                    <w:rPr>
                      <w:sz w:val="18"/>
                    </w:rPr>
                  </w:r>
                </w:p>
              </w:tc>
              <w:tc>
                <w:tcPr>
                  <w:tcBorders/>
                  <w:tcW w:w="0" w:type="auto"/>
                  <w:vAlign w:val="center"/>
                  <w:textDirection w:val="lrTb"/>
                  <w:noWrap w:val="false"/>
                </w:tcPr>
                <w:p>
                  <w:pPr>
                    <w:pBdr/>
                    <w:spacing w:line="240" w:lineRule="exact"/>
                    <w:ind/>
                    <w:rPr>
                      <w:sz w:val="18"/>
                    </w:rPr>
                  </w:pPr>
                  <w:r>
                    <w:rPr>
                      <w:sz w:val="18"/>
                    </w:rPr>
                    <w:t xml:space="preserve">ime (tvrtka) i adresu ugovornih strana,</w:t>
                  </w:r>
                  <w:r>
                    <w:rPr>
                      <w:sz w:val="18"/>
                    </w:rPr>
                  </w:r>
                </w:p>
              </w:tc>
            </w:tr>
            <w:tr>
              <w:trPr>
                <w:tblCellSpacing w:w="15" w:type="dxa"/>
              </w:trPr>
              <w:tc>
                <w:tcPr>
                  <w:tcBorders/>
                  <w:tcW w:w="182" w:type="dxa"/>
                  <w:textDirection w:val="lrTb"/>
                  <w:noWrap w:val="false"/>
                </w:tcPr>
                <w:p>
                  <w:pPr>
                    <w:pBdr/>
                    <w:spacing w:line="240" w:lineRule="exact"/>
                    <w:ind/>
                    <w:rPr>
                      <w:sz w:val="18"/>
                    </w:rPr>
                  </w:pPr>
                  <w:r>
                    <w:rPr>
                      <w:sz w:val="18"/>
                    </w:rPr>
                    <w:t xml:space="preserve">2.</w:t>
                  </w:r>
                  <w:r>
                    <w:rPr>
                      <w:sz w:val="18"/>
                    </w:rPr>
                  </w:r>
                </w:p>
              </w:tc>
              <w:tc>
                <w:tcPr>
                  <w:tcBorders/>
                  <w:tcW w:w="0" w:type="auto"/>
                  <w:vAlign w:val="center"/>
                  <w:textDirection w:val="lrTb"/>
                  <w:noWrap w:val="false"/>
                </w:tcPr>
                <w:p>
                  <w:pPr>
                    <w:pBdr/>
                    <w:spacing w:line="240" w:lineRule="exact"/>
                    <w:ind/>
                    <w:rPr>
                      <w:sz w:val="18"/>
                    </w:rPr>
                  </w:pPr>
                  <w:r>
                    <w:rPr>
                      <w:sz w:val="18"/>
                    </w:rPr>
                    <w:t xml:space="preserve">početak i trajanje ugovora o radu,</w:t>
                  </w:r>
                  <w:r>
                    <w:rPr>
                      <w:sz w:val="18"/>
                    </w:rPr>
                  </w:r>
                </w:p>
              </w:tc>
            </w:tr>
            <w:tr>
              <w:trPr>
                <w:tblCellSpacing w:w="15" w:type="dxa"/>
              </w:trPr>
              <w:tc>
                <w:tcPr>
                  <w:tcBorders/>
                  <w:tcW w:w="182" w:type="dxa"/>
                  <w:textDirection w:val="lrTb"/>
                  <w:noWrap w:val="false"/>
                </w:tcPr>
                <w:p>
                  <w:pPr>
                    <w:pBdr/>
                    <w:spacing w:line="240" w:lineRule="exact"/>
                    <w:ind/>
                    <w:rPr>
                      <w:sz w:val="18"/>
                    </w:rPr>
                  </w:pPr>
                  <w:r>
                    <w:rPr>
                      <w:sz w:val="18"/>
                    </w:rPr>
                    <w:t xml:space="preserve">3.</w:t>
                  </w:r>
                  <w:r>
                    <w:rPr>
                      <w:sz w:val="18"/>
                    </w:rPr>
                  </w:r>
                </w:p>
              </w:tc>
              <w:tc>
                <w:tcPr>
                  <w:tcBorders/>
                  <w:tcW w:w="0" w:type="auto"/>
                  <w:vAlign w:val="center"/>
                  <w:textDirection w:val="lrTb"/>
                  <w:noWrap w:val="false"/>
                </w:tcPr>
                <w:p>
                  <w:pPr>
                    <w:pBdr/>
                    <w:spacing w:line="240" w:lineRule="exact"/>
                    <w:ind/>
                    <w:rPr>
                      <w:sz w:val="18"/>
                    </w:rPr>
                  </w:pPr>
                  <w:r>
                    <w:rPr>
                      <w:sz w:val="18"/>
                    </w:rPr>
                    <w:t xml:space="preserve">sadržaj usluge,</w:t>
                  </w:r>
                  <w:r>
                    <w:rPr>
                      <w:sz w:val="18"/>
                    </w:rPr>
                  </w:r>
                </w:p>
              </w:tc>
            </w:tr>
            <w:tr>
              <w:trPr>
                <w:tblCellSpacing w:w="15" w:type="dxa"/>
              </w:trPr>
              <w:tc>
                <w:tcPr>
                  <w:tcBorders/>
                  <w:tcW w:w="182" w:type="dxa"/>
                  <w:textDirection w:val="lrTb"/>
                  <w:noWrap w:val="false"/>
                </w:tcPr>
                <w:p>
                  <w:pPr>
                    <w:pBdr/>
                    <w:spacing w:line="240" w:lineRule="exact"/>
                    <w:ind/>
                    <w:rPr>
                      <w:sz w:val="18"/>
                    </w:rPr>
                  </w:pPr>
                  <w:r>
                    <w:rPr>
                      <w:sz w:val="18"/>
                    </w:rPr>
                    <w:t xml:space="preserve">4.</w:t>
                  </w:r>
                  <w:r>
                    <w:rPr>
                      <w:sz w:val="18"/>
                    </w:rPr>
                  </w:r>
                </w:p>
              </w:tc>
              <w:tc>
                <w:tcPr>
                  <w:tcBorders/>
                  <w:tcW w:w="0" w:type="auto"/>
                  <w:vAlign w:val="center"/>
                  <w:textDirection w:val="lrTb"/>
                  <w:noWrap w:val="false"/>
                </w:tcPr>
                <w:p>
                  <w:pPr>
                    <w:pBdr/>
                    <w:spacing w:line="240" w:lineRule="exact"/>
                    <w:ind/>
                    <w:rPr>
                      <w:sz w:val="18"/>
                    </w:rPr>
                  </w:pPr>
                  <w:r>
                    <w:rPr>
                      <w:sz w:val="18"/>
                    </w:rPr>
                    <w:t xml:space="preserve">uspostavljanje smjernica za djelovanje u smis</w:t>
                  </w:r>
                  <w:r>
                    <w:rPr>
                      <w:sz w:val="18"/>
                    </w:rPr>
                    <w:t xml:space="preserve">lu stavke 160. st. 2 Z 1 GewO 1994. sa izmjenama i dopunama,</w:t>
                  </w:r>
                  <w:r>
                    <w:rPr>
                      <w:sz w:val="18"/>
                    </w:rPr>
                  </w:r>
                </w:p>
              </w:tc>
            </w:tr>
            <w:tr>
              <w:trPr>
                <w:tblCellSpacing w:w="15" w:type="dxa"/>
              </w:trPr>
              <w:tc>
                <w:tcPr>
                  <w:tcBorders/>
                  <w:tcW w:w="182" w:type="dxa"/>
                  <w:textDirection w:val="lrTb"/>
                  <w:noWrap w:val="false"/>
                </w:tcPr>
                <w:p>
                  <w:pPr>
                    <w:pBdr/>
                    <w:spacing w:line="240" w:lineRule="exact"/>
                    <w:ind/>
                    <w:rPr>
                      <w:sz w:val="18"/>
                    </w:rPr>
                  </w:pPr>
                  <w:r>
                    <w:rPr>
                      <w:sz w:val="18"/>
                    </w:rPr>
                    <w:t xml:space="preserve">5.</w:t>
                  </w:r>
                  <w:r>
                    <w:rPr>
                      <w:sz w:val="18"/>
                    </w:rPr>
                  </w:r>
                </w:p>
              </w:tc>
              <w:tc>
                <w:tcPr>
                  <w:tcBorders/>
                  <w:tcW w:w="0" w:type="auto"/>
                  <w:vAlign w:val="center"/>
                  <w:textDirection w:val="lrTb"/>
                  <w:noWrap w:val="false"/>
                </w:tcPr>
                <w:p>
                  <w:pPr>
                    <w:pBdr/>
                    <w:spacing w:line="240" w:lineRule="exact"/>
                    <w:ind/>
                    <w:rPr>
                      <w:sz w:val="18"/>
                    </w:rPr>
                  </w:pPr>
                  <w:r>
                    <w:rPr>
                      <w:sz w:val="18"/>
                    </w:rPr>
                    <w:t xml:space="preserve">sporazum o tome je li osigurano zastupanje u slučaju sprečavanja i, ako je potrebno, ime i adresu kontakta zastupnika,</w:t>
                  </w:r>
                  <w:r>
                    <w:rPr>
                      <w:sz w:val="18"/>
                    </w:rPr>
                  </w:r>
                </w:p>
              </w:tc>
            </w:tr>
            <w:tr>
              <w:trPr>
                <w:tblCellSpacing w:w="15" w:type="dxa"/>
              </w:trPr>
              <w:tc>
                <w:tcPr>
                  <w:tcBorders/>
                  <w:tcW w:w="182" w:type="dxa"/>
                  <w:textDirection w:val="lrTb"/>
                  <w:noWrap w:val="false"/>
                </w:tcPr>
                <w:p>
                  <w:pPr>
                    <w:pBdr/>
                    <w:spacing w:line="240" w:lineRule="exact"/>
                    <w:ind/>
                    <w:rPr>
                      <w:sz w:val="18"/>
                    </w:rPr>
                  </w:pPr>
                  <w:r>
                    <w:rPr>
                      <w:sz w:val="18"/>
                    </w:rPr>
                    <w:t xml:space="preserve">6.</w:t>
                  </w:r>
                  <w:r>
                    <w:rPr>
                      <w:sz w:val="18"/>
                    </w:rPr>
                  </w:r>
                </w:p>
              </w:tc>
              <w:tc>
                <w:tcPr>
                  <w:tcBorders/>
                  <w:tcW w:w="0" w:type="auto"/>
                  <w:vAlign w:val="center"/>
                  <w:textDirection w:val="lrTb"/>
                  <w:noWrap w:val="false"/>
                </w:tcPr>
                <w:p>
                  <w:pPr>
                    <w:pBdr/>
                    <w:spacing w:line="240" w:lineRule="exact"/>
                    <w:ind/>
                    <w:rPr>
                      <w:sz w:val="18"/>
                    </w:rPr>
                  </w:pPr>
                  <w:r>
                    <w:rPr>
                      <w:sz w:val="18"/>
                    </w:rPr>
                    <w:t xml:space="preserve">datum dospijeća i iznos plaće, pri čemu mora biti istaknuto da </w:t>
                  </w:r>
                  <w:r>
                    <w:rPr>
                      <w:sz w:val="18"/>
                    </w:rPr>
                    <w:t xml:space="preserve">obrtnik sam prijavljuje i plaća sve poreze i doprinose i</w:t>
                  </w:r>
                  <w:r>
                    <w:rPr>
                      <w:sz w:val="18"/>
                    </w:rPr>
                  </w:r>
                </w:p>
              </w:tc>
            </w:tr>
            <w:tr>
              <w:trPr>
                <w:tblCellSpacing w:w="15" w:type="dxa"/>
              </w:trPr>
              <w:tc>
                <w:tcPr>
                  <w:tcBorders/>
                  <w:tcW w:w="182" w:type="dxa"/>
                  <w:textDirection w:val="lrTb"/>
                  <w:noWrap w:val="false"/>
                </w:tcPr>
                <w:p>
                  <w:pPr>
                    <w:pBdr/>
                    <w:spacing w:line="240" w:lineRule="exact"/>
                    <w:ind/>
                    <w:rPr>
                      <w:sz w:val="18"/>
                    </w:rPr>
                  </w:pPr>
                  <w:r>
                    <w:rPr>
                      <w:sz w:val="18"/>
                    </w:rPr>
                    <w:t xml:space="preserve">7.</w:t>
                  </w:r>
                  <w:r>
                    <w:rPr>
                      <w:sz w:val="18"/>
                    </w:rPr>
                  </w:r>
                </w:p>
              </w:tc>
              <w:tc>
                <w:tcPr>
                  <w:tcBorders/>
                  <w:tcW w:w="0" w:type="auto"/>
                  <w:vAlign w:val="center"/>
                  <w:textDirection w:val="lrTb"/>
                  <w:noWrap w:val="false"/>
                </w:tcPr>
                <w:p>
                  <w:pPr>
                    <w:pBdr/>
                    <w:spacing w:line="240" w:lineRule="exact"/>
                    <w:ind/>
                    <w:rPr>
                      <w:sz w:val="18"/>
                    </w:rPr>
                  </w:pPr>
                  <w:r>
                    <w:rPr>
                      <w:sz w:val="18"/>
                    </w:rPr>
                    <w:t xml:space="preserve">odredbe o raskidu ugovornog odnosa, pri čemu mora biti predviđeno da se ugovor o osobnoj njezi raskine nakon smrti osobe kojoj je potrebna skrb i da obrtnik mora vratiti dio predujma koji je unap</w:t>
                  </w:r>
                  <w:r>
                    <w:rPr>
                      <w:sz w:val="18"/>
                    </w:rPr>
                    <w:t xml:space="preserve">rijed uplaćen, a ugovor moraju obje stranke raskinuti s otkaznim rokom od dva tjedna kalendarskog mjeseca.</w:t>
                  </w:r>
                  <w:r>
                    <w:rPr>
                      <w:sz w:val="18"/>
                    </w:rPr>
                  </w:r>
                </w:p>
              </w:tc>
            </w:tr>
          </w:tbl>
          <w:p>
            <w:pPr>
              <w:pBdr/>
              <w:spacing w:line="240" w:lineRule="exact"/>
              <w:ind w:left="142"/>
              <w:rPr>
                <w:sz w:val="18"/>
              </w:rPr>
            </w:pPr>
            <w:r>
              <w:rPr>
                <w:sz w:val="18"/>
              </w:rPr>
              <w:t xml:space="preserve">(3) Pojedinačni sadržaji ugovora o radu su jednostavni i razumljivi, ali ipak sveobuhvatni i precizni.</w:t>
            </w:r>
            <w:r>
              <w:rPr>
                <w:sz w:val="18"/>
              </w:rPr>
            </w:r>
          </w:p>
          <w:p>
            <w:pPr>
              <w:pBdr/>
              <w:spacing w:line="240" w:lineRule="exact"/>
              <w:ind/>
              <w:jc w:val="center"/>
              <w:rPr>
                <w:b/>
                <w:sz w:val="18"/>
              </w:rPr>
            </w:pPr>
            <w:r>
              <w:rPr>
                <w:b/>
                <w:sz w:val="18"/>
              </w:rPr>
              <w:t xml:space="preserve">Profesionalna pravila</w:t>
            </w:r>
            <w:r>
              <w:rPr>
                <w:b/>
                <w:sz w:val="18"/>
              </w:rPr>
            </w:r>
          </w:p>
          <w:p>
            <w:pPr>
              <w:pBdr/>
              <w:spacing w:line="240" w:lineRule="exact"/>
              <w:ind/>
              <w:rPr>
                <w:sz w:val="18"/>
              </w:rPr>
            </w:pPr>
            <w:r>
              <w:rPr>
                <w:sz w:val="18"/>
              </w:rPr>
              <w:t xml:space="preserve">§ 3. </w:t>
            </w:r>
            <w:r>
              <w:rPr>
                <w:sz w:val="18"/>
              </w:rPr>
            </w:r>
          </w:p>
          <w:p>
            <w:pPr>
              <w:pBdr/>
              <w:spacing w:line="240" w:lineRule="exact"/>
              <w:ind w:left="142"/>
              <w:rPr>
                <w:sz w:val="18"/>
              </w:rPr>
            </w:pPr>
            <w:r>
              <w:rPr>
                <w:sz w:val="18"/>
              </w:rPr>
              <w:t xml:space="preserve">U stavku 1. st.1 </w:t>
            </w:r>
            <w:r>
              <w:rPr>
                <w:sz w:val="18"/>
              </w:rPr>
              <w:t xml:space="preserve">Gore navedeni obrtnici moraju savjesno vršiti svoju profesiju njegovatelja. Dužni ste biti suzdržani od bilo kakvog nezakonitog ponašanja.</w:t>
            </w:r>
            <w:r>
              <w:rPr>
                <w:sz w:val="18"/>
              </w:rPr>
            </w:r>
          </w:p>
          <w:p>
            <w:pPr>
              <w:pBdr/>
              <w:spacing w:line="240" w:lineRule="exact"/>
              <w:ind/>
              <w:rPr>
                <w:b/>
                <w:sz w:val="18"/>
              </w:rPr>
            </w:pPr>
            <w:r>
              <w:rPr>
                <w:b/>
                <w:sz w:val="18"/>
              </w:rPr>
            </w:r>
            <w:r>
              <w:rPr>
                <w:b/>
                <w:sz w:val="18"/>
              </w:rPr>
            </w:r>
          </w:p>
          <w:p>
            <w:pPr>
              <w:pBdr/>
              <w:spacing w:line="240" w:lineRule="exact"/>
              <w:ind/>
              <w:rPr>
                <w:sz w:val="18"/>
              </w:rPr>
            </w:pPr>
            <w:r>
              <w:rPr>
                <w:sz w:val="18"/>
              </w:rPr>
              <w:t xml:space="preserve">Članak 4. </w:t>
            </w:r>
            <w:r>
              <w:rPr>
                <w:sz w:val="18"/>
              </w:rPr>
            </w:r>
          </w:p>
          <w:p>
            <w:pPr>
              <w:pBdr/>
              <w:spacing w:line="240" w:lineRule="exact"/>
              <w:ind w:left="142"/>
              <w:rPr>
                <w:sz w:val="18"/>
              </w:rPr>
            </w:pPr>
            <w:r>
              <w:rPr>
                <w:sz w:val="18"/>
              </w:rPr>
              <w:t xml:space="preserve">Nezakonito ponašanje u poslovnim odnosima s klijentom ili osobom o kojoj se treba brinuti je neprikladno,</w:t>
            </w:r>
            <w:r>
              <w:rPr>
                <w:sz w:val="18"/>
              </w:rPr>
              <w:t xml:space="preserve"> što može naštetiti ugledu profesije ili interesima profesije i narušiti osobna prava, uključujući ekonomske interese osobe o kojoj se brine. Ponašanje protivno profesionalnim standardima postoji posebno ako njegovatelji ne nude svoje usluge istinito ili p</w:t>
            </w:r>
            <w:r>
              <w:rPr>
                <w:sz w:val="18"/>
              </w:rPr>
              <w:t xml:space="preserve">ružaju usluge bez da im se na to povjeri, ili prihvaćaju plaćanja bez da su to ovlašteni, ili zadrže predmete koji su im sami povjerili ili daju preporuke nepodobnih osoba kao njegovatelja.</w:t>
            </w:r>
            <w:r>
              <w:rPr>
                <w:sz w:val="18"/>
              </w:rPr>
            </w:r>
          </w:p>
          <w:p>
            <w:pPr>
              <w:pBdr/>
              <w:spacing w:line="240" w:lineRule="exact"/>
              <w:ind/>
              <w:rPr>
                <w:sz w:val="18"/>
              </w:rPr>
            </w:pPr>
            <w:r>
              <w:rPr>
                <w:sz w:val="18"/>
              </w:rPr>
              <w:t xml:space="preserve">Članak 6. </w:t>
            </w:r>
            <w:r>
              <w:rPr>
                <w:sz w:val="18"/>
              </w:rPr>
            </w:r>
          </w:p>
          <w:p>
            <w:pPr>
              <w:pBdr/>
              <w:spacing w:line="240" w:lineRule="exact"/>
              <w:ind w:left="142"/>
              <w:rPr>
                <w:sz w:val="18"/>
              </w:rPr>
            </w:pPr>
            <w:r>
              <w:rPr>
                <w:sz w:val="18"/>
              </w:rPr>
              <w:t xml:space="preserve">(1) Ovaj Pravilnik stupa na snagu 15. </w:t>
            </w:r>
            <w:r>
              <w:rPr>
                <w:sz w:val="18"/>
              </w:rPr>
              <w:t xml:space="preserve">listopada 2007. godine.</w:t>
            </w:r>
            <w:r>
              <w:rPr>
                <w:sz w:val="18"/>
              </w:rPr>
            </w:r>
          </w:p>
          <w:p>
            <w:pPr>
              <w:pBdr/>
              <w:spacing w:after="120" w:before="120" w:line="240" w:lineRule="exact"/>
              <w:ind w:left="142"/>
              <w:rPr>
                <w:sz w:val="18"/>
              </w:rPr>
            </w:pPr>
            <w:r>
              <w:rPr>
                <w:sz w:val="18"/>
              </w:rPr>
              <w:t xml:space="preserve">(2) st. 1. st. 1 u verziji uredbe </w:t>
            </w:r>
            <w:hyperlink r:id="rId17" w:tooltip="https://www.ris.bka.gv.at/eli/bgbl/II/2015/396" w:history="1">
              <w:r>
                <w:rPr>
                  <w:rStyle w:val="888"/>
                  <w:rFonts w:cs="Arial"/>
                  <w:color w:val="auto"/>
                  <w:sz w:val="18"/>
                </w:rPr>
                <w:t xml:space="preserve">BGBl. II broj 396/2015</w:t>
              </w:r>
            </w:hyperlink>
            <w:r>
              <w:rPr>
                <w:sz w:val="18"/>
              </w:rPr>
              <w:t xml:space="preserve"> (Napomena: ispravno: </w:t>
            </w:r>
            <w:hyperlink r:id="rId18" w:tooltip="https://www.ris.bka.gv.at/eli/bgbl/II/2015/397" w:history="1">
              <w:r>
                <w:rPr>
                  <w:rStyle w:val="888"/>
                  <w:rFonts w:cs="Arial"/>
                  <w:color w:val="auto"/>
                  <w:sz w:val="18"/>
                </w:rPr>
                <w:t xml:space="preserve">BGBl. II broj 397/2015</w:t>
              </w:r>
            </w:hyperlink>
            <w:r>
              <w:rPr>
                <w:sz w:val="18"/>
              </w:rPr>
              <w:t xml:space="preserve">) stupa na snagu stupanjem na snagu naredbe Federalnog ministra znanosti, istraživanja i gospodarstva o profesionalnim i profesionalnim pravilima za organizaciju osobn</w:t>
            </w:r>
            <w:r>
              <w:rPr>
                <w:sz w:val="18"/>
              </w:rPr>
              <w:t xml:space="preserve">e njege, </w:t>
            </w:r>
            <w:hyperlink r:id="rId19" w:tooltip="https://www.ris.bka.gv.at/eli/bgbl/II/2015/396" w:history="1">
              <w:r>
                <w:rPr>
                  <w:rStyle w:val="888"/>
                  <w:rFonts w:cs="Arial"/>
                  <w:color w:val="auto"/>
                  <w:sz w:val="18"/>
                </w:rPr>
                <w:t xml:space="preserve">BGBl. II broj 396/2015</w:t>
              </w:r>
            </w:hyperlink>
            <w:r>
              <w:rPr>
                <w:sz w:val="18"/>
              </w:rPr>
              <w:t xml:space="preserve">, na snazi; istodobno istječe § 5.</w:t>
            </w:r>
            <w:r>
              <w:rPr>
                <w:sz w:val="18"/>
              </w:rPr>
            </w:r>
          </w:p>
        </w:tc>
      </w:tr>
      <w:tr>
        <w:trPr>
          <w:trHeight w:val="3418"/>
        </w:trPr>
        <w:tc>
          <w:tcPr>
            <w:shd w:val="clear" w:color="auto" w:fill="auto"/>
            <w:tcBorders/>
            <w:tcW w:w="9382" w:type="dxa"/>
            <w:textDirection w:val="lrTb"/>
            <w:noWrap w:val="false"/>
          </w:tcPr>
          <w:p>
            <w:pPr>
              <w:numPr>
                <w:ilvl w:val="0"/>
                <w:numId w:val="2"/>
              </w:numPr>
              <w:pBdr/>
              <w:spacing w:after="120" w:before="120" w:line="240" w:lineRule="exact"/>
              <w:ind w:hanging="284" w:left="284"/>
              <w:rPr>
                <w:b/>
                <w:sz w:val="20"/>
              </w:rPr>
            </w:pPr>
            <w:r>
              <w:rPr>
                <w:b/>
                <w:sz w:val="20"/>
              </w:rPr>
              <w:t xml:space="preserve">Pravilnik o mjerama koje obrtnici koji obavljaju djelatnost osobne njege moraju</w:t>
            </w:r>
            <w:r>
              <w:rPr>
                <w:b/>
                <w:sz w:val="20"/>
              </w:rPr>
              <w:t xml:space="preserve"> poduzeti kako bi izbjegli ugrožavanje života ili zdravlja prilikom pružanja usluga. BGBl. II broj 152/2007</w:t>
            </w:r>
            <w:r>
              <w:rPr>
                <w:b/>
                <w:sz w:val="20"/>
              </w:rPr>
            </w:r>
          </w:p>
          <w:p>
            <w:pPr>
              <w:pBdr/>
              <w:spacing w:before="120" w:line="240" w:lineRule="exact"/>
              <w:ind/>
              <w:rPr>
                <w:sz w:val="18"/>
              </w:rPr>
            </w:pPr>
            <w:r>
              <w:rPr>
                <w:sz w:val="18"/>
              </w:rPr>
              <w:t xml:space="preserve">Članak 1. </w:t>
            </w:r>
            <w:r>
              <w:rPr>
                <w:sz w:val="18"/>
              </w:rPr>
            </w:r>
          </w:p>
          <w:p>
            <w:pPr>
              <w:pBdr/>
              <w:spacing w:line="240" w:lineRule="exact"/>
              <w:ind w:left="142"/>
              <w:rPr>
                <w:sz w:val="18"/>
              </w:rPr>
            </w:pPr>
            <w:r>
              <w:rPr>
                <w:sz w:val="18"/>
              </w:rPr>
              <w:t xml:space="preserve">(1) Pri pružanju usluga u osobnoj njezi, vlasnici obrta moraju osigurati da osoba o kojoj brinu ne ugrožava zdravlje ili život.</w:t>
            </w:r>
            <w:r>
              <w:rPr>
                <w:sz w:val="18"/>
              </w:rPr>
            </w:r>
          </w:p>
          <w:p>
            <w:pPr>
              <w:pBdr/>
              <w:spacing w:line="240" w:lineRule="exact"/>
              <w:ind w:left="142"/>
              <w:rPr>
                <w:sz w:val="18"/>
              </w:rPr>
            </w:pPr>
            <w:r>
              <w:rPr>
                <w:sz w:val="18"/>
              </w:rPr>
              <w:t xml:space="preserve">(2) Stava</w:t>
            </w:r>
            <w:r>
              <w:rPr>
                <w:sz w:val="18"/>
              </w:rPr>
              <w:t xml:space="preserve">k iz st. 1 Obveza pružanja skrbi uključuje posebno</w:t>
            </w:r>
            <w:r>
              <w:rPr>
                <w:sz w:val="18"/>
              </w:rPr>
            </w:r>
          </w:p>
          <w:tbl>
            <w:tblPr>
              <w:tblInd w:w="142" w:type="dxa"/>
              <w:tblW w:w="0" w:type="auto"/>
              <w:tblCellMar>
                <w:left w:w="15" w:type="dxa"/>
                <w:top w:w="15" w:type="dxa"/>
                <w:right w:w="15" w:type="dxa"/>
                <w:bottom w:w="15" w:type="dxa"/>
              </w:tblCellMar>
              <w:tblBorders/>
              <w:tblCellSpacing w:w="15" w:type="dxa"/>
              <w:tblLook w:val="04A0" w:firstRow="1" w:lastRow="0" w:firstColumn="1" w:lastColumn="0" w:noHBand="0" w:noVBand="1"/>
            </w:tblPr>
            <w:tblGrid>
              <w:gridCol w:w="226"/>
              <w:gridCol w:w="6779"/>
            </w:tblGrid>
            <w:tr>
              <w:trPr>
                <w:tblCellSpacing w:w="15" w:type="dxa"/>
              </w:trPr>
              <w:tc>
                <w:tcPr>
                  <w:tcBorders/>
                  <w:tcW w:w="50" w:type="dxa"/>
                  <w:vAlign w:val="center"/>
                  <w:textDirection w:val="lrTb"/>
                  <w:noWrap w:val="false"/>
                </w:tcPr>
                <w:p>
                  <w:pPr>
                    <w:pBdr/>
                    <w:spacing w:line="240" w:lineRule="exact"/>
                    <w:ind/>
                    <w:rPr>
                      <w:sz w:val="18"/>
                    </w:rPr>
                  </w:pPr>
                  <w:r>
                    <w:rPr>
                      <w:sz w:val="18"/>
                    </w:rPr>
                    <w:t xml:space="preserve">1.</w:t>
                  </w:r>
                  <w:r>
                    <w:rPr>
                      <w:sz w:val="18"/>
                    </w:rPr>
                  </w:r>
                </w:p>
              </w:tc>
              <w:tc>
                <w:tcPr>
                  <w:tcBorders/>
                  <w:tcW w:w="0" w:type="auto"/>
                  <w:vAlign w:val="center"/>
                  <w:textDirection w:val="lrTb"/>
                  <w:noWrap w:val="false"/>
                </w:tcPr>
                <w:p>
                  <w:pPr>
                    <w:pBdr/>
                    <w:spacing w:line="240" w:lineRule="exact"/>
                    <w:ind/>
                    <w:rPr>
                      <w:sz w:val="18"/>
                    </w:rPr>
                  </w:pPr>
                  <w:r>
                    <w:rPr>
                      <w:sz w:val="18"/>
                    </w:rPr>
                    <w:t xml:space="preserve">postavljanje mjera za sprečavanje nezgoda prilikom pružanja usluga u domaćinstvu,</w:t>
                  </w:r>
                  <w:r>
                    <w:rPr>
                      <w:sz w:val="18"/>
                    </w:rPr>
                  </w:r>
                </w:p>
              </w:tc>
            </w:tr>
            <w:tr>
              <w:trPr>
                <w:tblCellSpacing w:w="15" w:type="dxa"/>
              </w:trPr>
              <w:tc>
                <w:tcPr>
                  <w:tcBorders/>
                  <w:tcW w:w="50" w:type="dxa"/>
                  <w:vAlign w:val="center"/>
                  <w:textDirection w:val="lrTb"/>
                  <w:noWrap w:val="false"/>
                </w:tcPr>
                <w:p>
                  <w:pPr>
                    <w:pBdr/>
                    <w:spacing w:line="240" w:lineRule="exact"/>
                    <w:ind/>
                    <w:rPr>
                      <w:sz w:val="18"/>
                    </w:rPr>
                  </w:pPr>
                  <w:r>
                    <w:rPr>
                      <w:sz w:val="18"/>
                    </w:rPr>
                    <w:t xml:space="preserve">2.</w:t>
                  </w:r>
                  <w:r>
                    <w:rPr>
                      <w:sz w:val="18"/>
                    </w:rPr>
                  </w:r>
                </w:p>
              </w:tc>
              <w:tc>
                <w:tcPr>
                  <w:tcBorders/>
                  <w:tcW w:w="0" w:type="auto"/>
                  <w:vAlign w:val="center"/>
                  <w:textDirection w:val="lrTb"/>
                  <w:noWrap w:val="false"/>
                </w:tcPr>
                <w:p>
                  <w:pPr>
                    <w:pBdr/>
                    <w:spacing w:line="240" w:lineRule="exact"/>
                    <w:ind/>
                    <w:rPr>
                      <w:sz w:val="18"/>
                    </w:rPr>
                  </w:pPr>
                  <w:r>
                    <w:rPr>
                      <w:sz w:val="18"/>
                    </w:rPr>
                    <w:t xml:space="preserve">poštujući propise nametnute skrbnicima prilikom pripreme obroka </w:t>
                  </w:r>
                  <w:r>
                    <w:rPr>
                      <w:sz w:val="18"/>
                    </w:rPr>
                  </w:r>
                </w:p>
              </w:tc>
            </w:tr>
            <w:tr>
              <w:trPr>
                <w:tblCellSpacing w:w="15" w:type="dxa"/>
              </w:trPr>
              <w:tc>
                <w:tcPr>
                  <w:tcBorders/>
                  <w:tcW w:w="50" w:type="dxa"/>
                  <w:vAlign w:val="center"/>
                  <w:textDirection w:val="lrTb"/>
                  <w:noWrap w:val="false"/>
                </w:tcPr>
                <w:p>
                  <w:pPr>
                    <w:pBdr/>
                    <w:spacing w:line="240" w:lineRule="exact"/>
                    <w:ind/>
                    <w:rPr>
                      <w:sz w:val="18"/>
                    </w:rPr>
                  </w:pPr>
                  <w:r>
                    <w:rPr>
                      <w:sz w:val="18"/>
                    </w:rPr>
                    <w:t xml:space="preserve">3.</w:t>
                  </w:r>
                  <w:r>
                    <w:rPr>
                      <w:sz w:val="18"/>
                    </w:rPr>
                  </w:r>
                </w:p>
              </w:tc>
              <w:tc>
                <w:tcPr>
                  <w:tcBorders/>
                  <w:tcW w:w="0" w:type="auto"/>
                  <w:vAlign w:val="center"/>
                  <w:textDirection w:val="lrTb"/>
                  <w:noWrap w:val="false"/>
                </w:tcPr>
                <w:p>
                  <w:pPr>
                    <w:pBdr/>
                    <w:spacing w:line="240" w:lineRule="exact"/>
                    <w:ind/>
                    <w:rPr>
                      <w:sz w:val="18"/>
                    </w:rPr>
                  </w:pPr>
                  <w:r>
                    <w:rPr>
                      <w:sz w:val="18"/>
                    </w:rPr>
                    <w:t xml:space="preserve">uzimajući u obzir fizičku pokretljivost osobe o kojoj se brine.</w:t>
                  </w:r>
                  <w:r>
                    <w:rPr>
                      <w:sz w:val="18"/>
                    </w:rPr>
                  </w:r>
                </w:p>
              </w:tc>
            </w:tr>
          </w:tbl>
          <w:p>
            <w:pPr>
              <w:pBdr/>
              <w:spacing w:line="240" w:lineRule="exact"/>
              <w:ind/>
              <w:rPr>
                <w:sz w:val="18"/>
              </w:rPr>
            </w:pPr>
            <w:r>
              <w:rPr>
                <w:sz w:val="18"/>
              </w:rPr>
            </w:r>
            <w:r>
              <w:rPr>
                <w:sz w:val="18"/>
              </w:rPr>
            </w:r>
          </w:p>
          <w:p>
            <w:pPr>
              <w:pBdr/>
              <w:spacing w:line="240" w:lineRule="exact"/>
              <w:ind/>
              <w:rPr>
                <w:sz w:val="18"/>
              </w:rPr>
            </w:pPr>
            <w:r>
              <w:rPr>
                <w:sz w:val="18"/>
              </w:rPr>
              <w:t xml:space="preserve">§ 2. </w:t>
            </w:r>
            <w:r>
              <w:rPr>
                <w:sz w:val="18"/>
              </w:rPr>
            </w:r>
          </w:p>
          <w:p>
            <w:pPr>
              <w:pBdr/>
              <w:spacing w:after="120" w:line="240" w:lineRule="exact"/>
              <w:ind w:left="142"/>
              <w:rPr>
                <w:sz w:val="18"/>
              </w:rPr>
            </w:pPr>
            <w:r>
              <w:rPr>
                <w:sz w:val="18"/>
              </w:rPr>
              <w:t xml:space="preserve">Ova uredba stupa na snagu 1. srpnja 2007.</w:t>
            </w:r>
            <w:r>
              <w:rPr>
                <w:sz w:val="18"/>
              </w:rPr>
            </w:r>
          </w:p>
        </w:tc>
      </w:tr>
    </w:tbl>
    <w:p>
      <w:pPr>
        <w:pBdr/>
        <w:tabs>
          <w:tab w:val="left" w:leader="none" w:pos="1560"/>
        </w:tabs>
        <w:spacing w:after="120" w:before="120" w:line="240" w:lineRule="exact"/>
        <w:ind/>
        <w:jc w:val="both"/>
        <w:rPr>
          <w:b/>
        </w:rPr>
      </w:pPr>
      <w:r>
        <w:rPr>
          <w:b/>
        </w:rPr>
      </w:r>
      <w:r>
        <w:rPr>
          <w:b/>
        </w:rPr>
      </w:r>
    </w:p>
    <w:p>
      <w:pPr>
        <w:pBdr/>
        <w:tabs>
          <w:tab w:val="left" w:leader="none" w:pos="142"/>
        </w:tabs>
        <w:spacing w:after="120" w:before="120" w:line="240" w:lineRule="exact"/>
        <w:ind/>
        <w:jc w:val="both"/>
        <w:rPr>
          <w:sz w:val="18"/>
        </w:rPr>
      </w:pPr>
      <w:r>
        <w:rPr>
          <w:sz w:val="18"/>
        </w:rPr>
        <w:t xml:space="preserve">Dodatak zabilježen, potpis (tvrtka za njegu i skrb): </w:t>
      </w:r>
      <w:r>
        <w:rPr>
          <w:sz w:val="18"/>
        </w:rPr>
        <w:t xml:space="preserve">_________________________________</w:t>
      </w:r>
      <w:r>
        <w:rPr>
          <w:sz w:val="18"/>
        </w:rPr>
      </w:r>
    </w:p>
    <w:p>
      <w:pPr>
        <w:pBdr/>
        <w:tabs>
          <w:tab w:val="left" w:leader="none" w:pos="1560"/>
        </w:tabs>
        <w:spacing w:after="120" w:before="120" w:line="240" w:lineRule="exact"/>
        <w:ind/>
        <w:jc w:val="both"/>
        <w:rPr>
          <w:b/>
        </w:rPr>
      </w:pPr>
      <w:r>
        <w:rPr>
          <w:b/>
        </w:rPr>
      </w:r>
      <w:r>
        <w:rPr>
          <w:b/>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6840" w:orient="portrait" w:w="11907"/>
      <w:pgMar w:top="1418" w:right="1247" w:bottom="1418" w:left="1418" w:header="737" w:footer="397" w:gutter="0"/>
      <w:cols w:num="1" w:sep="0" w:space="709"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quare721 BT">
    <w:panose1 w:val="02000000000000000000"/>
  </w:font>
  <w:font w:name="Symbol">
    <w:panose1 w:val="05050102010706020507"/>
  </w:font>
  <w:font w:name="Wingdings">
    <w:panose1 w:val="05000000000000000000"/>
  </w:font>
  <w:font w:name="Calibri">
    <w:panose1 w:val="020F0502020204030204"/>
  </w:font>
  <w:font w:name="Cambria">
    <w:panose1 w:val="02040503050406030204"/>
  </w:font>
  <w:font w:name="Times New Roman">
    <w:panose1 w:val="02020603050405020304"/>
  </w:font>
  <w:font w:name="Courier New">
    <w:panose1 w:val="02070309020205020404"/>
  </w:font>
  <w:font w:name="Tahoma">
    <w:panose1 w:val="020B0604030504040204"/>
  </w:font>
  <w:font w:name="Courier">
    <w:panose1 w:val="020703090202050204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center" w:leader="none" w:pos="4819"/>
        <w:tab w:val="right" w:leader="none" w:pos="9071"/>
      </w:tabs>
      <w:spacing/>
      <w:ind/>
      <w:jc w:val="center"/>
      <w:rPr>
        <w:sz w:val="18"/>
      </w:rPr>
    </w:pPr>
    <w:r>
      <w:rPr>
        <w:sz w:val="18"/>
      </w:rPr>
      <w:t xml:space="preserve">Unatoč pomnoj obradi i prevođenju sadržaja pogreške nisu isključene. Stoga je isključena svaka odgovornost gospodarskih komora za lakšu nepažnju (osim osobne ozljede) i prema poduzetnicima zbog jednostavno grube nepaž</w:t>
    </w:r>
    <w:r>
      <w:rPr>
        <w:sz w:val="18"/>
      </w:rPr>
      <w:t xml:space="preserve">nje.</w:t>
    </w:r>
    <w:r>
      <w:rPr>
        <w:sz w:val="18"/>
      </w:rPr>
    </w:r>
  </w:p>
  <w:p>
    <w:pPr>
      <w:pStyle w:val="879"/>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9"/>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center" w:leader="none" w:pos="4819"/>
        <w:tab w:val="right" w:leader="none" w:pos="9071"/>
      </w:tabs>
      <w:spacing/>
      <w:ind/>
      <w:jc w:val="center"/>
      <w:rPr>
        <w:sz w:val="18"/>
      </w:rPr>
    </w:pPr>
    <w:r/>
    <w:bookmarkStart w:id="0" w:name="_Hlk25164144"/>
    <w:r/>
    <w:bookmarkStart w:id="1" w:name="_Hlk25164145"/>
    <w:r>
      <w:rPr>
        <w:sz w:val="18"/>
      </w:rPr>
      <w:t xml:space="preserve">Unatoč pomnoj obradi i prevođenju sadržaja pogreške nisu isključene. Stoga je isključena svaka odgovornost gospodarskih komora za lakšu nepažnju (osim osobne ozljede) i prema poduzetnicima zbog jednostav</w:t>
    </w:r>
    <w:r>
      <w:rPr>
        <w:sz w:val="18"/>
      </w:rPr>
      <w:t xml:space="preserve">no grube nepažnje.</w:t>
    </w:r>
    <w:bookmarkEnd w:id="0"/>
    <w:bookmarkEnd w:id="1"/>
    <w:r>
      <w:rPr>
        <w:sz w:val="18"/>
      </w:rPr>
    </w:r>
  </w:p>
  <w:p>
    <w:pPr>
      <w:pStyle w:val="87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pBdr/>
      <w:spacing/>
      <w:ind w:right="170"/>
      <w:jc w:val="center"/>
      <w:rPr>
        <w:rStyle w:val="889"/>
        <w:rFonts w:cs="Arial"/>
        <w:sz w:val="18"/>
      </w:rPr>
    </w:pPr>
    <w:r>
      <mc:AlternateContent>
        <mc:Choice Requires="wpg">
          <w:drawing>
            <wp:anchor xmlns:wp="http://schemas.openxmlformats.org/drawingml/2006/wordprocessingDrawing" xmlns:wp14="http://schemas.microsoft.com/office/word/2010/wordprocessingDrawing" distT="0" distB="0" distL="114300" distR="114300" simplePos="0" relativeHeight="4294445056" behindDoc="1" locked="0" layoutInCell="0" allowOverlap="1">
              <wp:simplePos x="0" y="0"/>
              <wp:positionH relativeFrom="margin">
                <wp:align>center</wp:align>
              </wp:positionH>
              <wp:positionV relativeFrom="margin">
                <wp:align>center</wp:align>
              </wp:positionV>
              <wp:extent cx="6435090" cy="1838325"/>
              <wp:effectExtent l="0" t="0" r="0" b="0"/>
              <wp:wrapNone/>
              <wp:docPr id="1" name="PowerPlusWaterMarkObject4700234"/>
              <wp:cNvGraphicFramePr/>
              <a:graphic xmlns:a="http://schemas.openxmlformats.org/drawingml/2006/main">
                <a:graphicData uri="http://schemas.microsoft.com/office/word/2010/wordprocessingShape">
                  <wps:wsp>
                    <wps:cNvPr id="0" name=""/>
                    <wps:cNvSpPr/>
                    <wps:spPr bwMode="auto">
                      <a:xfrm rot="18900000">
                        <a:off x="0" y="0"/>
                        <a:ext cx="6435090" cy="1838325"/>
                      </a:xfrm>
                      <a:prstGeom prst="rect">
                        <a:avLst/>
                      </a:prstGeom>
                      <a:noFill/>
                      <a:ln>
                        <a:noFill/>
                      </a:ln>
                    </wps:spPr>
                    <wps:txbx>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PREDLOŽAK</w:t>
                          </w:r>
                          <w:r>
                            <w:rPr>
                              <w:rFonts w:ascii="Arial" w:hAnsi="Arial"/>
                              <w:sz w:val="16"/>
                              <w:szCs w:val="16"/>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4700234" o:spid="_x0000_s0" o:spt="1" type="#_x0000_t1" style="position:absolute;z-index:-4294445056;o:allowoverlap:true;o:allowincell:false;mso-position-horizontal-relative:margin;mso-position-horizontal:center;mso-position-vertical-relative:margin;mso-position-vertical:center;width:506.70pt;height:144.75pt;mso-wrap-distance-left:9.00pt;mso-wrap-distance-top:0.00pt;mso-wrap-distance-right:9.00pt;mso-wrap-distance-bottom:0.00pt;rotation:315;visibility:visible;" filled="f" stroked="f">
              <v:textbox inset="0,0,0,0">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PREDLOŽAK</w:t>
                    </w:r>
                    <w:r>
                      <w:rPr>
                        <w:rFonts w:ascii="Arial" w:hAnsi="Arial"/>
                        <w:sz w:val="16"/>
                        <w:szCs w:val="16"/>
                        <w14:textOutline w14:w="12700">
                          <w14:noFill/>
                        </w14:textOutline>
                        <w14:textFill>
                          <w14:solidFill>
                            <w14:srgbClr w14:val="C0C0C0">
                              <w14:alpha w14:val="49803"/>
                            </w14:srgbClr>
                          </w14:solidFill>
                        </w14:textFill>
                      </w:rPr>
                    </w:r>
                  </w:p>
                </w:txbxContent>
              </v:textbox>
            </v:shape>
          </w:pict>
        </mc:Fallback>
      </mc:AlternateContent>
    </w:r>
    <w:r>
      <w:rPr>
        <w:sz w:val="18"/>
      </w:rPr>
      <w:t xml:space="preserve">- </w:t>
    </w:r>
    <w:r>
      <w:rPr>
        <w:rStyle w:val="889"/>
        <w:rFonts w:cs="Arial"/>
        <w:sz w:val="18"/>
      </w:rPr>
      <w:fldChar w:fldCharType="begin"/>
    </w:r>
    <w:r>
      <w:rPr>
        <w:rStyle w:val="889"/>
        <w:rFonts w:cs="Arial"/>
        <w:sz w:val="18"/>
        <w:szCs w:val="18"/>
      </w:rPr>
      <w:instrText xml:space="preserve"> PAGE </w:instrText>
    </w:r>
    <w:r>
      <w:rPr>
        <w:rStyle w:val="889"/>
        <w:rFonts w:cs="Arial"/>
        <w:sz w:val="18"/>
        <w:szCs w:val="18"/>
      </w:rPr>
      <w:fldChar w:fldCharType="separate"/>
    </w:r>
    <w:r>
      <w:rPr>
        <w:rStyle w:val="889"/>
        <w:rFonts w:cs="Arial"/>
        <w:sz w:val="18"/>
        <w:szCs w:val="18"/>
      </w:rPr>
      <w:t xml:space="preserve">2</w:t>
    </w:r>
    <w:r>
      <w:rPr>
        <w:rStyle w:val="889"/>
        <w:rFonts w:cs="Arial"/>
        <w:sz w:val="18"/>
        <w:szCs w:val="18"/>
      </w:rPr>
      <w:fldChar w:fldCharType="end"/>
    </w:r>
    <w:r>
      <w:rPr>
        <w:rStyle w:val="889"/>
        <w:rFonts w:cs="Arial"/>
        <w:sz w:val="18"/>
      </w:rPr>
      <w:t xml:space="preserve"> -</w:t>
    </w:r>
    <w:r>
      <w:rPr>
        <w:rStyle w:val="889"/>
        <w:rFonts w:cs="Arial"/>
        <w:sz w:val="18"/>
      </w:rPr>
    </w:r>
  </w:p>
  <w:p>
    <w:pPr>
      <w:pStyle w:val="881"/>
      <w:pBdr/>
      <w:spacing/>
      <w:ind/>
      <w:jc w:val="center"/>
      <w:rPr>
        <w:sz w:val="18"/>
      </w:rPr>
    </w:pPr>
    <w:r>
      <w:rPr>
        <w:sz w:val="18"/>
      </w:rPr>
    </w:r>
    <w:r>
      <w:rPr>
        <w:sz w:val="1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4294444032" behindDoc="1" locked="0" layoutInCell="0" allowOverlap="1">
              <wp:simplePos x="0" y="0"/>
              <wp:positionH relativeFrom="margin">
                <wp:align>center</wp:align>
              </wp:positionH>
              <wp:positionV relativeFrom="margin">
                <wp:align>center</wp:align>
              </wp:positionV>
              <wp:extent cx="6435090" cy="1838325"/>
              <wp:effectExtent l="0" t="0" r="0" b="0"/>
              <wp:wrapNone/>
              <wp:docPr id="2" name="PowerPlusWaterMarkObject4700233"/>
              <wp:cNvGraphicFramePr/>
              <a:graphic xmlns:a="http://schemas.openxmlformats.org/drawingml/2006/main">
                <a:graphicData uri="http://schemas.microsoft.com/office/word/2010/wordprocessingShape">
                  <wps:wsp>
                    <wps:cNvPr id="0" name=""/>
                    <wps:cNvSpPr/>
                    <wps:spPr bwMode="auto">
                      <a:xfrm rot="18900000">
                        <a:off x="0" y="0"/>
                        <a:ext cx="6435090" cy="1838325"/>
                      </a:xfrm>
                      <a:prstGeom prst="rect">
                        <a:avLst/>
                      </a:prstGeom>
                      <a:noFill/>
                      <a:ln>
                        <a:noFill/>
                      </a:ln>
                    </wps:spPr>
                    <wps:txbx>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PREDLOŽAK</w:t>
                          </w:r>
                          <w:r>
                            <w:rPr>
                              <w:rFonts w:ascii="Arial" w:hAnsi="Arial"/>
                              <w:sz w:val="16"/>
                              <w:szCs w:val="16"/>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4700233" o:spid="_x0000_s1" o:spt="1" type="#_x0000_t1" style="position:absolute;z-index:-4294444032;o:allowoverlap:true;o:allowincell:false;mso-position-horizontal-relative:margin;mso-position-horizontal:center;mso-position-vertical-relative:margin;mso-position-vertical:center;width:506.70pt;height:144.75pt;mso-wrap-distance-left:9.00pt;mso-wrap-distance-top:0.00pt;mso-wrap-distance-right:9.00pt;mso-wrap-distance-bottom:0.00pt;rotation:315;visibility:visible;" filled="f" stroked="f">
              <v:textbox inset="0,0,0,0">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PREDLOŽAK</w:t>
                    </w:r>
                    <w:r>
                      <w:rPr>
                        <w:rFonts w:ascii="Arial" w:hAnsi="Arial"/>
                        <w:sz w:val="16"/>
                        <w:szCs w:val="16"/>
                        <w14:textOutline w14:w="12700">
                          <w14:noFill/>
                        </w14:textOutline>
                        <w14:textFill>
                          <w14:solidFill>
                            <w14:srgbClr w14:val="C0C0C0">
                              <w14:alpha w14:val="49803"/>
                            </w14:srgbClr>
                          </w14:solidFill>
                        </w14:textFill>
                      </w:rP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pBdr/>
      <w:tabs>
        <w:tab w:val="left" w:leader="none" w:pos="1560"/>
        <w:tab w:val="clear" w:leader="none" w:pos="4819"/>
        <w:tab w:val="clear" w:leader="none" w:pos="9071"/>
      </w:tabs>
      <w:spacing w:line="340" w:lineRule="exact"/>
      <w:ind w:hanging="1560" w:left="1560"/>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0" allowOverlap="1">
              <wp:simplePos x="0" y="0"/>
              <wp:positionH relativeFrom="margin">
                <wp:align>center</wp:align>
              </wp:positionH>
              <wp:positionV relativeFrom="margin">
                <wp:align>center</wp:align>
              </wp:positionV>
              <wp:extent cx="6435090" cy="1838325"/>
              <wp:effectExtent l="0" t="0" r="0" b="0"/>
              <wp:wrapNone/>
              <wp:docPr id="3" name="PowerPlusWaterMarkObject4700232"/>
              <wp:cNvGraphicFramePr/>
              <a:graphic xmlns:a="http://schemas.openxmlformats.org/drawingml/2006/main">
                <a:graphicData uri="http://schemas.microsoft.com/office/word/2010/wordprocessingShape">
                  <wps:wsp>
                    <wps:cNvPr id="0" name=""/>
                    <wps:cNvSpPr/>
                    <wps:spPr bwMode="auto">
                      <a:xfrm rot="18900000">
                        <a:off x="0" y="0"/>
                        <a:ext cx="6435090" cy="1838325"/>
                      </a:xfrm>
                      <a:prstGeom prst="rect">
                        <a:avLst/>
                      </a:prstGeom>
                      <a:noFill/>
                      <a:ln>
                        <a:noFill/>
                      </a:ln>
                    </wps:spPr>
                    <wps:txbx>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PREDLOŽAK</w:t>
                          </w:r>
                          <w:r>
                            <w:rPr>
                              <w:rFonts w:ascii="Arial" w:hAnsi="Arial"/>
                              <w:sz w:val="16"/>
                              <w:szCs w:val="16"/>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4700232" o:spid="_x0000_s2" o:spt="1" type="#_x0000_t1" style="position:absolute;z-index:-251658240;o:allowoverlap:true;o:allowincell:false;mso-position-horizontal-relative:margin;mso-position-horizontal:center;mso-position-vertical-relative:margin;mso-position-vertical:center;width:506.70pt;height:144.75pt;mso-wrap-distance-left:9.00pt;mso-wrap-distance-top:0.00pt;mso-wrap-distance-right:9.00pt;mso-wrap-distance-bottom:0.00pt;rotation:315;visibility:visible;" filled="f" stroked="f">
              <v:textbox inset="0,0,0,0">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PREDLOŽAK</w:t>
                    </w:r>
                    <w:r>
                      <w:rPr>
                        <w:rFonts w:ascii="Arial" w:hAnsi="Arial"/>
                        <w:sz w:val="16"/>
                        <w:szCs w:val="16"/>
                        <w14:textOutline w14:w="12700">
                          <w14:noFill/>
                        </w14:textOutline>
                        <w14:textFill>
                          <w14:solidFill>
                            <w14:srgbClr w14:val="C0C0C0">
                              <w14:alpha w14:val="49803"/>
                            </w14:srgbClr>
                          </w14:solidFill>
                        </w14:textFill>
                      </w:rPr>
                    </w:r>
                  </w:p>
                </w:txbxContent>
              </v:textbox>
            </v:shape>
          </w:pict>
        </mc:Fallback>
      </mc:AlternateContent>
    </w:r>
    <w:r>
      <w:rPr>
        <w:rFonts w:ascii="Square721 BT" w:hAnsi="Square721 BT" w:cs="Square721 BT"/>
        <w:smallCaps/>
        <w:color w:val="808080"/>
        <w:sz w:val="32"/>
      </w:rPr>
      <w:t xml:space="preserve">od 05.2025</w:t>
    </w:r>
    <w:r/>
  </w:p>
  <w:p>
    <w:pPr>
      <w:pStyle w:val="881"/>
      <w:pBdr/>
      <w:tabs>
        <w:tab w:val="clear" w:leader="none" w:pos="9071"/>
      </w:tabs>
      <w:spacing/>
      <w:ind w:right="28"/>
      <w:jc w:val="right"/>
      <w:rPr>
        <w:rFonts w:ascii="Square721 BT" w:hAnsi="Square721 BT" w:cs="Square721 BT"/>
        <w:smallCaps/>
        <w:color w:val="808080"/>
        <w:sz w:val="32"/>
      </w:rPr>
    </w:pPr>
    <w:r>
      <w:rPr>
        <w:rFonts w:ascii="Square721 BT" w:hAnsi="Square721 BT" w:cs="Square721 BT"/>
        <w:smallCaps/>
        <w:color w:val="808080"/>
        <w:sz w:val="32"/>
      </w:rPr>
      <w:t xml:space="preserve"> </w:t>
    </w:r>
    <w:r>
      <w:rPr>
        <w:rFonts w:ascii="Square721 BT" w:hAnsi="Square721 BT" w:cs="Square721 BT"/>
        <w:smallCaps/>
        <w:color w:val="808080"/>
        <w:sz w:val="32"/>
      </w:rPr>
      <w:tab/>
    </w:r>
    <w:r>
      <w:rPr>
        <w:rFonts w:ascii="Square721 BT" w:hAnsi="Square721 BT" w:cs="Square721 BT"/>
        <w:smallCaps/>
        <w:color w:val="808080"/>
        <w:sz w:val="32"/>
      </w:rPr>
    </w:r>
  </w:p>
  <w:p>
    <w:pPr>
      <w:pStyle w:val="881"/>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upp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
      <w:numFmt w:val="bullet"/>
      <w:pPr>
        <w:pBdr/>
        <w:tabs>
          <w:tab w:val="left" w:leader="none" w:pos="397"/>
        </w:tabs>
        <w:spacing/>
        <w:ind w:hanging="397" w:left="397"/>
      </w:pPr>
      <w:pStyle w:val="891"/>
      <w:rPr>
        <w:rFonts w:hint="default" w:ascii="Arial" w:hAnsi="Arial"/>
        <w:sz w:val="16"/>
      </w:rPr>
      <w:start w:val="1"/>
      <w:suff w:val="tab"/>
    </w:lvl>
    <w:lvl w:ilvl="1">
      <w:isLgl w:val="false"/>
      <w:lvlJc w:val="left"/>
      <w:lvlText w:val="o"/>
      <w:numFmt w:val="bullet"/>
      <w:pPr>
        <w:pBdr/>
        <w:tabs>
          <w:tab w:val="left" w:leader="none" w:pos="1440"/>
        </w:tabs>
        <w:spacing/>
        <w:ind w:hanging="360" w:left="1440"/>
      </w:pPr>
      <w:rPr>
        <w:rFonts w:hint="default" w:ascii="Courier New" w:hAnsi="Courier New"/>
      </w:rPr>
      <w:start w:val="1"/>
      <w:suff w:val="tab"/>
    </w:lvl>
    <w:lvl w:ilvl="2">
      <w:isLgl w:val="false"/>
      <w:lvlJc w:val="left"/>
      <w:lvlText w:val=""/>
      <w:numFmt w:val="bullet"/>
      <w:pPr>
        <w:pBdr/>
        <w:tabs>
          <w:tab w:val="left" w:leader="none" w:pos="2160"/>
        </w:tabs>
        <w:spacing/>
        <w:ind w:hanging="360" w:left="2160"/>
      </w:pPr>
      <w:rPr>
        <w:rFonts w:hint="default" w:ascii="Wingdings" w:hAnsi="Wingdings"/>
      </w:rPr>
      <w:start w:val="1"/>
      <w:suff w:val="tab"/>
    </w:lvl>
    <w:lvl w:ilvl="3">
      <w:isLgl w:val="false"/>
      <w:lvlJc w:val="left"/>
      <w:lvlText w:val=""/>
      <w:numFmt w:val="bullet"/>
      <w:pPr>
        <w:pBdr/>
        <w:tabs>
          <w:tab w:val="left" w:leader="none" w:pos="2880"/>
        </w:tabs>
        <w:spacing/>
        <w:ind w:hanging="360" w:left="2880"/>
      </w:pPr>
      <w:rPr>
        <w:rFonts w:hint="default" w:ascii="Symbol" w:hAnsi="Symbol"/>
      </w:rPr>
      <w:start w:val="1"/>
      <w:suff w:val="tab"/>
    </w:lvl>
    <w:lvl w:ilvl="4">
      <w:isLgl w:val="false"/>
      <w:lvlJc w:val="left"/>
      <w:lvlText w:val="o"/>
      <w:numFmt w:val="bullet"/>
      <w:pPr>
        <w:pBdr/>
        <w:tabs>
          <w:tab w:val="left" w:leader="none" w:pos="3600"/>
        </w:tabs>
        <w:spacing/>
        <w:ind w:hanging="360" w:left="3600"/>
      </w:pPr>
      <w:rPr>
        <w:rFonts w:hint="default" w:ascii="Courier New" w:hAnsi="Courier New"/>
      </w:rPr>
      <w:start w:val="1"/>
      <w:suff w:val="tab"/>
    </w:lvl>
    <w:lvl w:ilvl="5">
      <w:isLgl w:val="false"/>
      <w:lvlJc w:val="left"/>
      <w:lvlText w:val=""/>
      <w:numFmt w:val="bullet"/>
      <w:pPr>
        <w:pBdr/>
        <w:tabs>
          <w:tab w:val="left" w:leader="none" w:pos="4320"/>
        </w:tabs>
        <w:spacing/>
        <w:ind w:hanging="360" w:left="4320"/>
      </w:pPr>
      <w:rPr>
        <w:rFonts w:hint="default" w:ascii="Wingdings" w:hAnsi="Wingdings"/>
      </w:rPr>
      <w:start w:val="1"/>
      <w:suff w:val="tab"/>
    </w:lvl>
    <w:lvl w:ilvl="6">
      <w:isLgl w:val="false"/>
      <w:lvlJc w:val="left"/>
      <w:lvlText w:val=""/>
      <w:numFmt w:val="bullet"/>
      <w:pPr>
        <w:pBdr/>
        <w:tabs>
          <w:tab w:val="left" w:leader="none" w:pos="5040"/>
        </w:tabs>
        <w:spacing/>
        <w:ind w:hanging="360" w:left="5040"/>
      </w:pPr>
      <w:rPr>
        <w:rFonts w:hint="default" w:ascii="Symbol" w:hAnsi="Symbol"/>
      </w:rPr>
      <w:start w:val="1"/>
      <w:suff w:val="tab"/>
    </w:lvl>
    <w:lvl w:ilvl="7">
      <w:isLgl w:val="false"/>
      <w:lvlJc w:val="left"/>
      <w:lvlText w:val="o"/>
      <w:numFmt w:val="bullet"/>
      <w:pPr>
        <w:pBdr/>
        <w:tabs>
          <w:tab w:val="left" w:leader="none" w:pos="5760"/>
        </w:tabs>
        <w:spacing/>
        <w:ind w:hanging="360" w:left="5760"/>
      </w:pPr>
      <w:rPr>
        <w:rFonts w:hint="default" w:ascii="Courier New" w:hAnsi="Courier New"/>
      </w:rPr>
      <w:start w:val="1"/>
      <w:suff w:val="tab"/>
    </w:lvl>
    <w:lvl w:ilvl="8">
      <w:isLgl w:val="false"/>
      <w:lvlJc w:val="left"/>
      <w:lvlText w:val=""/>
      <w:numFmt w:val="bullet"/>
      <w:pPr>
        <w:pBdr/>
        <w:tabs>
          <w:tab w:val="left" w:leader="none" w:pos="6480"/>
        </w:tabs>
        <w:spacing/>
        <w:ind w:hanging="360" w:left="6480"/>
      </w:pPr>
      <w:rPr>
        <w:rFonts w:hint="default" w:ascii="Wingdings" w:hAnsi="Wingdings"/>
      </w:rPr>
      <w:start w:val="1"/>
      <w:suff w:val="tab"/>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AT" w:eastAsia="de-AT"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872"/>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87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7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72"/>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7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7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7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7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7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7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7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7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7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7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7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7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7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7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7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7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7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7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7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7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7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7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7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7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7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7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7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7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7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7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7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7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7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7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7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7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7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7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7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7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7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7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7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7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7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7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7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7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7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7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7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7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7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7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7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7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7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7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7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7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7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7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7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7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7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7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7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7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7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7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7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7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7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7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7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7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7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7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7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7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7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7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87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87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87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87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87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7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7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7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7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7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7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7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7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7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7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7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7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7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7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9">
    <w:name w:val="Heading 1 Char"/>
    <w:basedOn w:val="871"/>
    <w:link w:val="862"/>
    <w:uiPriority w:val="9"/>
    <w:pPr>
      <w:pBdr/>
      <w:spacing/>
      <w:ind/>
    </w:pPr>
    <w:rPr>
      <w:rFonts w:ascii="Arial" w:hAnsi="Arial" w:eastAsia="Arial" w:cs="Arial"/>
      <w:color w:val="0f4761" w:themeColor="accent1" w:themeShade="BF"/>
      <w:sz w:val="40"/>
      <w:szCs w:val="40"/>
    </w:rPr>
  </w:style>
  <w:style w:type="character" w:styleId="150">
    <w:name w:val="Heading 2 Char"/>
    <w:basedOn w:val="871"/>
    <w:link w:val="863"/>
    <w:uiPriority w:val="9"/>
    <w:pPr>
      <w:pBdr/>
      <w:spacing/>
      <w:ind/>
    </w:pPr>
    <w:rPr>
      <w:rFonts w:ascii="Arial" w:hAnsi="Arial" w:eastAsia="Arial" w:cs="Arial"/>
      <w:color w:val="0f4761" w:themeColor="accent1" w:themeShade="BF"/>
      <w:sz w:val="32"/>
      <w:szCs w:val="32"/>
    </w:rPr>
  </w:style>
  <w:style w:type="character" w:styleId="151">
    <w:name w:val="Heading 3 Char"/>
    <w:basedOn w:val="871"/>
    <w:link w:val="864"/>
    <w:uiPriority w:val="9"/>
    <w:pPr>
      <w:pBdr/>
      <w:spacing/>
      <w:ind/>
    </w:pPr>
    <w:rPr>
      <w:rFonts w:ascii="Arial" w:hAnsi="Arial" w:eastAsia="Arial" w:cs="Arial"/>
      <w:color w:val="0f4761" w:themeColor="accent1" w:themeShade="BF"/>
      <w:sz w:val="28"/>
      <w:szCs w:val="28"/>
    </w:rPr>
  </w:style>
  <w:style w:type="character" w:styleId="152">
    <w:name w:val="Heading 4 Char"/>
    <w:basedOn w:val="871"/>
    <w:link w:val="865"/>
    <w:uiPriority w:val="9"/>
    <w:pPr>
      <w:pBdr/>
      <w:spacing/>
      <w:ind/>
    </w:pPr>
    <w:rPr>
      <w:rFonts w:ascii="Arial" w:hAnsi="Arial" w:eastAsia="Arial" w:cs="Arial"/>
      <w:i/>
      <w:iCs/>
      <w:color w:val="0f4761" w:themeColor="accent1" w:themeShade="BF"/>
    </w:rPr>
  </w:style>
  <w:style w:type="character" w:styleId="153">
    <w:name w:val="Heading 5 Char"/>
    <w:basedOn w:val="871"/>
    <w:link w:val="866"/>
    <w:uiPriority w:val="9"/>
    <w:pPr>
      <w:pBdr/>
      <w:spacing/>
      <w:ind/>
    </w:pPr>
    <w:rPr>
      <w:rFonts w:ascii="Arial" w:hAnsi="Arial" w:eastAsia="Arial" w:cs="Arial"/>
      <w:color w:val="0f4761" w:themeColor="accent1" w:themeShade="BF"/>
    </w:rPr>
  </w:style>
  <w:style w:type="character" w:styleId="154">
    <w:name w:val="Heading 6 Char"/>
    <w:basedOn w:val="871"/>
    <w:link w:val="867"/>
    <w:uiPriority w:val="9"/>
    <w:pPr>
      <w:pBdr/>
      <w:spacing/>
      <w:ind/>
    </w:pPr>
    <w:rPr>
      <w:rFonts w:ascii="Arial" w:hAnsi="Arial" w:eastAsia="Arial" w:cs="Arial"/>
      <w:i/>
      <w:iCs/>
      <w:color w:val="595959" w:themeColor="text1" w:themeTint="A6"/>
    </w:rPr>
  </w:style>
  <w:style w:type="character" w:styleId="155">
    <w:name w:val="Heading 7 Char"/>
    <w:basedOn w:val="871"/>
    <w:link w:val="868"/>
    <w:uiPriority w:val="9"/>
    <w:pPr>
      <w:pBdr/>
      <w:spacing/>
      <w:ind/>
    </w:pPr>
    <w:rPr>
      <w:rFonts w:ascii="Arial" w:hAnsi="Arial" w:eastAsia="Arial" w:cs="Arial"/>
      <w:color w:val="595959" w:themeColor="text1" w:themeTint="A6"/>
    </w:rPr>
  </w:style>
  <w:style w:type="character" w:styleId="156">
    <w:name w:val="Heading 8 Char"/>
    <w:basedOn w:val="871"/>
    <w:link w:val="869"/>
    <w:uiPriority w:val="9"/>
    <w:pPr>
      <w:pBdr/>
      <w:spacing/>
      <w:ind/>
    </w:pPr>
    <w:rPr>
      <w:rFonts w:ascii="Arial" w:hAnsi="Arial" w:eastAsia="Arial" w:cs="Arial"/>
      <w:i/>
      <w:iCs/>
      <w:color w:val="272727" w:themeColor="text1" w:themeTint="D8"/>
    </w:rPr>
  </w:style>
  <w:style w:type="character" w:styleId="157">
    <w:name w:val="Heading 9 Char"/>
    <w:basedOn w:val="871"/>
    <w:link w:val="870"/>
    <w:uiPriority w:val="9"/>
    <w:pPr>
      <w:pBdr/>
      <w:spacing/>
      <w:ind/>
    </w:pPr>
    <w:rPr>
      <w:rFonts w:ascii="Arial" w:hAnsi="Arial" w:eastAsia="Arial" w:cs="Arial"/>
      <w:i/>
      <w:iCs/>
      <w:color w:val="272727" w:themeColor="text1" w:themeTint="D8"/>
    </w:rPr>
  </w:style>
  <w:style w:type="paragraph" w:styleId="158">
    <w:name w:val="Title"/>
    <w:basedOn w:val="861"/>
    <w:next w:val="861"/>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871"/>
    <w:link w:val="158"/>
    <w:uiPriority w:val="10"/>
    <w:pPr>
      <w:pBdr/>
      <w:spacing/>
      <w:ind/>
    </w:pPr>
    <w:rPr>
      <w:rFonts w:ascii="Arial" w:hAnsi="Arial" w:eastAsia="Arial" w:cs="Arial"/>
      <w:spacing w:val="-10"/>
      <w:sz w:val="56"/>
      <w:szCs w:val="56"/>
    </w:rPr>
  </w:style>
  <w:style w:type="paragraph" w:styleId="160">
    <w:name w:val="Subtitle"/>
    <w:basedOn w:val="861"/>
    <w:next w:val="861"/>
    <w:link w:val="161"/>
    <w:uiPriority w:val="11"/>
    <w:qFormat/>
    <w:pPr>
      <w:numPr>
        <w:ilvl w:val="1"/>
      </w:numPr>
      <w:pBdr/>
      <w:spacing/>
      <w:ind/>
    </w:pPr>
    <w:rPr>
      <w:color w:val="595959" w:themeColor="text1" w:themeTint="A6"/>
      <w:spacing w:val="15"/>
      <w:sz w:val="28"/>
      <w:szCs w:val="28"/>
    </w:rPr>
  </w:style>
  <w:style w:type="character" w:styleId="161">
    <w:name w:val="Subtitle Char"/>
    <w:basedOn w:val="871"/>
    <w:link w:val="160"/>
    <w:uiPriority w:val="11"/>
    <w:pPr>
      <w:pBdr/>
      <w:spacing/>
      <w:ind/>
    </w:pPr>
    <w:rPr>
      <w:color w:val="595959" w:themeColor="text1" w:themeTint="A6"/>
      <w:spacing w:val="15"/>
      <w:sz w:val="28"/>
      <w:szCs w:val="28"/>
    </w:rPr>
  </w:style>
  <w:style w:type="paragraph" w:styleId="162">
    <w:name w:val="Quote"/>
    <w:basedOn w:val="861"/>
    <w:next w:val="861"/>
    <w:link w:val="163"/>
    <w:uiPriority w:val="29"/>
    <w:qFormat/>
    <w:pPr>
      <w:pBdr/>
      <w:spacing w:before="160"/>
      <w:ind/>
      <w:jc w:val="center"/>
    </w:pPr>
    <w:rPr>
      <w:i/>
      <w:iCs/>
      <w:color w:val="404040" w:themeColor="text1" w:themeTint="BF"/>
    </w:rPr>
  </w:style>
  <w:style w:type="character" w:styleId="163">
    <w:name w:val="Quote Char"/>
    <w:basedOn w:val="871"/>
    <w:link w:val="162"/>
    <w:uiPriority w:val="29"/>
    <w:pPr>
      <w:pBdr/>
      <w:spacing/>
      <w:ind/>
    </w:pPr>
    <w:rPr>
      <w:i/>
      <w:iCs/>
      <w:color w:val="404040" w:themeColor="text1" w:themeTint="BF"/>
    </w:rPr>
  </w:style>
  <w:style w:type="paragraph" w:styleId="164">
    <w:name w:val="List Paragraph"/>
    <w:basedOn w:val="861"/>
    <w:uiPriority w:val="34"/>
    <w:qFormat/>
    <w:pPr>
      <w:pBdr/>
      <w:spacing/>
      <w:ind w:left="720"/>
      <w:contextualSpacing w:val="true"/>
    </w:pPr>
  </w:style>
  <w:style w:type="character" w:styleId="165">
    <w:name w:val="Intense Emphasis"/>
    <w:basedOn w:val="871"/>
    <w:uiPriority w:val="21"/>
    <w:qFormat/>
    <w:pPr>
      <w:pBdr/>
      <w:spacing/>
      <w:ind/>
    </w:pPr>
    <w:rPr>
      <w:i/>
      <w:iCs/>
      <w:color w:val="0f4761" w:themeColor="accent1" w:themeShade="BF"/>
    </w:rPr>
  </w:style>
  <w:style w:type="paragraph" w:styleId="166">
    <w:name w:val="Intense Quote"/>
    <w:basedOn w:val="861"/>
    <w:next w:val="861"/>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71"/>
    <w:link w:val="166"/>
    <w:uiPriority w:val="30"/>
    <w:pPr>
      <w:pBdr/>
      <w:spacing/>
      <w:ind/>
    </w:pPr>
    <w:rPr>
      <w:i/>
      <w:iCs/>
      <w:color w:val="0f4761" w:themeColor="accent1" w:themeShade="BF"/>
    </w:rPr>
  </w:style>
  <w:style w:type="character" w:styleId="168">
    <w:name w:val="Intense Reference"/>
    <w:basedOn w:val="871"/>
    <w:uiPriority w:val="32"/>
    <w:qFormat/>
    <w:pPr>
      <w:pBdr/>
      <w:spacing/>
      <w:ind/>
    </w:pPr>
    <w:rPr>
      <w:b/>
      <w:bCs/>
      <w:smallCaps/>
      <w:color w:val="0f4761" w:themeColor="accent1" w:themeShade="BF"/>
      <w:spacing w:val="5"/>
    </w:rPr>
  </w:style>
  <w:style w:type="paragraph" w:styleId="169">
    <w:name w:val="No Spacing"/>
    <w:basedOn w:val="861"/>
    <w:uiPriority w:val="1"/>
    <w:qFormat/>
    <w:pPr>
      <w:pBdr/>
      <w:spacing w:after="0" w:line="240" w:lineRule="auto"/>
      <w:ind/>
    </w:pPr>
  </w:style>
  <w:style w:type="character" w:styleId="170">
    <w:name w:val="Subtle Emphasis"/>
    <w:basedOn w:val="871"/>
    <w:uiPriority w:val="19"/>
    <w:qFormat/>
    <w:pPr>
      <w:pBdr/>
      <w:spacing/>
      <w:ind/>
    </w:pPr>
    <w:rPr>
      <w:i/>
      <w:iCs/>
      <w:color w:val="404040" w:themeColor="text1" w:themeTint="BF"/>
    </w:rPr>
  </w:style>
  <w:style w:type="character" w:styleId="171">
    <w:name w:val="Emphasis"/>
    <w:basedOn w:val="871"/>
    <w:uiPriority w:val="20"/>
    <w:qFormat/>
    <w:pPr>
      <w:pBdr/>
      <w:spacing/>
      <w:ind/>
    </w:pPr>
    <w:rPr>
      <w:i/>
      <w:iCs/>
    </w:rPr>
  </w:style>
  <w:style w:type="character" w:styleId="172">
    <w:name w:val="Strong"/>
    <w:basedOn w:val="871"/>
    <w:uiPriority w:val="22"/>
    <w:qFormat/>
    <w:pPr>
      <w:pBdr/>
      <w:spacing/>
      <w:ind/>
    </w:pPr>
    <w:rPr>
      <w:b/>
      <w:bCs/>
    </w:rPr>
  </w:style>
  <w:style w:type="character" w:styleId="173">
    <w:name w:val="Subtle Reference"/>
    <w:basedOn w:val="871"/>
    <w:uiPriority w:val="31"/>
    <w:qFormat/>
    <w:pPr>
      <w:pBdr/>
      <w:spacing/>
      <w:ind/>
    </w:pPr>
    <w:rPr>
      <w:smallCaps/>
      <w:color w:val="5a5a5a" w:themeColor="text1" w:themeTint="A5"/>
    </w:rPr>
  </w:style>
  <w:style w:type="character" w:styleId="174">
    <w:name w:val="Book Title"/>
    <w:basedOn w:val="871"/>
    <w:uiPriority w:val="33"/>
    <w:qFormat/>
    <w:pPr>
      <w:pBdr/>
      <w:spacing/>
      <w:ind/>
    </w:pPr>
    <w:rPr>
      <w:b/>
      <w:bCs/>
      <w:i/>
      <w:iCs/>
      <w:spacing w:val="5"/>
    </w:rPr>
  </w:style>
  <w:style w:type="character" w:styleId="176">
    <w:name w:val="Header Char"/>
    <w:basedOn w:val="871"/>
    <w:link w:val="881"/>
    <w:uiPriority w:val="99"/>
    <w:pPr>
      <w:pBdr/>
      <w:spacing/>
      <w:ind/>
    </w:pPr>
  </w:style>
  <w:style w:type="character" w:styleId="178">
    <w:name w:val="Footer Char"/>
    <w:basedOn w:val="871"/>
    <w:link w:val="879"/>
    <w:uiPriority w:val="99"/>
    <w:pPr>
      <w:pBdr/>
      <w:spacing/>
      <w:ind/>
    </w:pPr>
  </w:style>
  <w:style w:type="paragraph" w:styleId="179">
    <w:name w:val="Caption"/>
    <w:basedOn w:val="861"/>
    <w:next w:val="861"/>
    <w:uiPriority w:val="35"/>
    <w:unhideWhenUsed/>
    <w:qFormat/>
    <w:pPr>
      <w:pBdr/>
      <w:spacing w:after="200" w:line="240" w:lineRule="auto"/>
      <w:ind/>
    </w:pPr>
    <w:rPr>
      <w:i/>
      <w:iCs/>
      <w:color w:val="0e2841" w:themeColor="text2"/>
      <w:sz w:val="18"/>
      <w:szCs w:val="18"/>
    </w:rPr>
  </w:style>
  <w:style w:type="character" w:styleId="181">
    <w:name w:val="Footnote Text Char"/>
    <w:basedOn w:val="871"/>
    <w:link w:val="880"/>
    <w:uiPriority w:val="99"/>
    <w:semiHidden/>
    <w:pPr>
      <w:pBdr/>
      <w:spacing/>
      <w:ind/>
    </w:pPr>
    <w:rPr>
      <w:sz w:val="20"/>
      <w:szCs w:val="20"/>
    </w:rPr>
  </w:style>
  <w:style w:type="character" w:styleId="184">
    <w:name w:val="Endnote Text Char"/>
    <w:basedOn w:val="871"/>
    <w:link w:val="878"/>
    <w:uiPriority w:val="99"/>
    <w:semiHidden/>
    <w:pPr>
      <w:pBdr/>
      <w:spacing/>
      <w:ind/>
    </w:pPr>
    <w:rPr>
      <w:sz w:val="20"/>
      <w:szCs w:val="20"/>
    </w:rPr>
  </w:style>
  <w:style w:type="character" w:styleId="185">
    <w:name w:val="endnote reference"/>
    <w:basedOn w:val="871"/>
    <w:uiPriority w:val="99"/>
    <w:semiHidden/>
    <w:unhideWhenUsed/>
    <w:pPr>
      <w:pBdr/>
      <w:spacing/>
      <w:ind/>
    </w:pPr>
    <w:rPr>
      <w:vertAlign w:val="superscript"/>
    </w:rPr>
  </w:style>
  <w:style w:type="paragraph" w:styleId="190">
    <w:name w:val="toc 3"/>
    <w:basedOn w:val="861"/>
    <w:next w:val="861"/>
    <w:uiPriority w:val="39"/>
    <w:unhideWhenUsed/>
    <w:pPr>
      <w:pBdr/>
      <w:spacing w:after="100"/>
      <w:ind w:left="440"/>
    </w:pPr>
  </w:style>
  <w:style w:type="paragraph" w:styleId="191">
    <w:name w:val="toc 4"/>
    <w:basedOn w:val="861"/>
    <w:next w:val="861"/>
    <w:uiPriority w:val="39"/>
    <w:unhideWhenUsed/>
    <w:pPr>
      <w:pBdr/>
      <w:spacing w:after="100"/>
      <w:ind w:left="660"/>
    </w:pPr>
  </w:style>
  <w:style w:type="paragraph" w:styleId="192">
    <w:name w:val="toc 5"/>
    <w:basedOn w:val="861"/>
    <w:next w:val="861"/>
    <w:uiPriority w:val="39"/>
    <w:unhideWhenUsed/>
    <w:pPr>
      <w:pBdr/>
      <w:spacing w:after="100"/>
      <w:ind w:left="880"/>
    </w:pPr>
  </w:style>
  <w:style w:type="paragraph" w:styleId="193">
    <w:name w:val="toc 6"/>
    <w:basedOn w:val="861"/>
    <w:next w:val="861"/>
    <w:uiPriority w:val="39"/>
    <w:unhideWhenUsed/>
    <w:pPr>
      <w:pBdr/>
      <w:spacing w:after="100"/>
      <w:ind w:left="1100"/>
    </w:pPr>
  </w:style>
  <w:style w:type="paragraph" w:styleId="194">
    <w:name w:val="toc 7"/>
    <w:basedOn w:val="861"/>
    <w:next w:val="861"/>
    <w:uiPriority w:val="39"/>
    <w:unhideWhenUsed/>
    <w:pPr>
      <w:pBdr/>
      <w:spacing w:after="100"/>
      <w:ind w:left="1320"/>
    </w:pPr>
  </w:style>
  <w:style w:type="paragraph" w:styleId="195">
    <w:name w:val="toc 8"/>
    <w:basedOn w:val="861"/>
    <w:next w:val="861"/>
    <w:uiPriority w:val="39"/>
    <w:unhideWhenUsed/>
    <w:pPr>
      <w:pBdr/>
      <w:spacing w:after="100"/>
      <w:ind w:left="1540"/>
    </w:pPr>
  </w:style>
  <w:style w:type="paragraph" w:styleId="196">
    <w:name w:val="toc 9"/>
    <w:basedOn w:val="861"/>
    <w:next w:val="861"/>
    <w:uiPriority w:val="39"/>
    <w:unhideWhenUsed/>
    <w:pPr>
      <w:pBdr/>
      <w:spacing w:after="100"/>
      <w:ind w:left="1760"/>
    </w:pPr>
  </w:style>
  <w:style w:type="character" w:styleId="197">
    <w:name w:val="Placeholder Text"/>
    <w:basedOn w:val="871"/>
    <w:uiPriority w:val="99"/>
    <w:semiHidden/>
    <w:pPr>
      <w:pBdr/>
      <w:spacing/>
      <w:ind/>
    </w:pPr>
    <w:rPr>
      <w:color w:val="666666"/>
    </w:rPr>
  </w:style>
  <w:style w:type="paragraph" w:styleId="207">
    <w:name w:val="TOC Heading"/>
    <w:uiPriority w:val="39"/>
    <w:unhideWhenUsed/>
    <w:pPr>
      <w:pBdr/>
      <w:spacing/>
      <w:ind/>
    </w:pPr>
  </w:style>
  <w:style w:type="paragraph" w:styleId="208">
    <w:name w:val="table of figures"/>
    <w:basedOn w:val="861"/>
    <w:next w:val="861"/>
    <w:uiPriority w:val="99"/>
    <w:unhideWhenUsed/>
    <w:pPr>
      <w:pBdr/>
      <w:spacing w:after="0" w:afterAutospacing="0"/>
      <w:ind/>
    </w:pPr>
  </w:style>
  <w:style w:type="paragraph" w:styleId="861" w:default="1">
    <w:name w:val="Normal"/>
    <w:qFormat/>
    <w:pPr>
      <w:pBdr/>
      <w:spacing/>
      <w:ind/>
    </w:pPr>
    <w:rPr>
      <w:rFonts w:ascii="Arial" w:hAnsi="Arial" w:cs="Arial"/>
      <w:sz w:val="22"/>
      <w:szCs w:val="22"/>
      <w:lang w:val="hr-HR" w:eastAsia="de-DE"/>
    </w:rPr>
  </w:style>
  <w:style w:type="paragraph" w:styleId="862">
    <w:name w:val="Heading 1"/>
    <w:basedOn w:val="861"/>
    <w:link w:val="892"/>
    <w:uiPriority w:val="99"/>
    <w:qFormat/>
    <w:pPr>
      <w:keepNext w:val="true"/>
      <w:keepLines w:val="true"/>
      <w:pageBreakBefore w:val="true"/>
      <w:pBdr/>
      <w:spacing w:after="240" w:before="480" w:line="280" w:lineRule="atLeast"/>
      <w:ind/>
      <w:outlineLvl w:val="0"/>
    </w:pPr>
    <w:rPr>
      <w:b/>
      <w:bCs/>
      <w:sz w:val="32"/>
      <w:szCs w:val="32"/>
    </w:rPr>
  </w:style>
  <w:style w:type="paragraph" w:styleId="863">
    <w:name w:val="Heading 2"/>
    <w:basedOn w:val="862"/>
    <w:next w:val="864"/>
    <w:link w:val="893"/>
    <w:uiPriority w:val="99"/>
    <w:qFormat/>
    <w:pPr>
      <w:pageBreakBefore w:val="false"/>
      <w:pBdr/>
      <w:spacing w:after="120" w:before="240"/>
      <w:ind/>
      <w:outlineLvl w:val="1"/>
    </w:pPr>
    <w:rPr>
      <w:sz w:val="28"/>
      <w:szCs w:val="28"/>
    </w:rPr>
  </w:style>
  <w:style w:type="paragraph" w:styleId="864">
    <w:name w:val="Heading 3"/>
    <w:basedOn w:val="863"/>
    <w:next w:val="861"/>
    <w:link w:val="894"/>
    <w:uiPriority w:val="99"/>
    <w:qFormat/>
    <w:pPr>
      <w:keepNext w:val="false"/>
      <w:pBdr/>
      <w:spacing w:after="240" w:line="240" w:lineRule="atLeast"/>
      <w:ind/>
      <w:outlineLvl w:val="2"/>
    </w:pPr>
    <w:rPr>
      <w:sz w:val="26"/>
      <w:szCs w:val="26"/>
    </w:rPr>
  </w:style>
  <w:style w:type="paragraph" w:styleId="865">
    <w:name w:val="Heading 4"/>
    <w:basedOn w:val="864"/>
    <w:next w:val="861"/>
    <w:link w:val="895"/>
    <w:uiPriority w:val="99"/>
    <w:qFormat/>
    <w:pPr>
      <w:pBdr/>
      <w:spacing w:line="240" w:lineRule="auto"/>
      <w:ind/>
      <w:outlineLvl w:val="3"/>
    </w:pPr>
    <w:rPr>
      <w:sz w:val="20"/>
      <w:szCs w:val="20"/>
    </w:rPr>
  </w:style>
  <w:style w:type="paragraph" w:styleId="866">
    <w:name w:val="Heading 5"/>
    <w:basedOn w:val="861"/>
    <w:next w:val="874"/>
    <w:link w:val="896"/>
    <w:uiPriority w:val="99"/>
    <w:qFormat/>
    <w:pPr>
      <w:pBdr/>
      <w:spacing/>
      <w:ind w:left="708"/>
      <w:outlineLvl w:val="4"/>
    </w:pPr>
    <w:rPr>
      <w:rFonts w:ascii="Courier" w:hAnsi="Courier" w:cs="Courier"/>
      <w:b/>
      <w:bCs/>
    </w:rPr>
  </w:style>
  <w:style w:type="paragraph" w:styleId="867">
    <w:name w:val="Heading 6"/>
    <w:basedOn w:val="861"/>
    <w:next w:val="874"/>
    <w:link w:val="897"/>
    <w:uiPriority w:val="99"/>
    <w:qFormat/>
    <w:pPr>
      <w:pBdr/>
      <w:spacing/>
      <w:ind w:left="708"/>
      <w:outlineLvl w:val="5"/>
    </w:pPr>
    <w:rPr>
      <w:rFonts w:ascii="Courier" w:hAnsi="Courier" w:cs="Courier"/>
      <w:u w:val="single"/>
    </w:rPr>
  </w:style>
  <w:style w:type="paragraph" w:styleId="868">
    <w:name w:val="Heading 7"/>
    <w:basedOn w:val="861"/>
    <w:next w:val="874"/>
    <w:link w:val="898"/>
    <w:uiPriority w:val="99"/>
    <w:qFormat/>
    <w:pPr>
      <w:pBdr/>
      <w:spacing/>
      <w:ind w:left="708"/>
      <w:outlineLvl w:val="6"/>
    </w:pPr>
    <w:rPr>
      <w:rFonts w:ascii="Courier" w:hAnsi="Courier" w:cs="Courier"/>
      <w:i/>
      <w:iCs/>
    </w:rPr>
  </w:style>
  <w:style w:type="paragraph" w:styleId="869">
    <w:name w:val="Heading 8"/>
    <w:basedOn w:val="861"/>
    <w:next w:val="874"/>
    <w:link w:val="899"/>
    <w:uiPriority w:val="99"/>
    <w:qFormat/>
    <w:pPr>
      <w:pBdr/>
      <w:spacing/>
      <w:ind w:left="708"/>
      <w:outlineLvl w:val="7"/>
    </w:pPr>
    <w:rPr>
      <w:rFonts w:ascii="Courier" w:hAnsi="Courier" w:cs="Courier"/>
      <w:i/>
      <w:iCs/>
    </w:rPr>
  </w:style>
  <w:style w:type="paragraph" w:styleId="870">
    <w:name w:val="Heading 9"/>
    <w:basedOn w:val="861"/>
    <w:next w:val="874"/>
    <w:link w:val="900"/>
    <w:uiPriority w:val="99"/>
    <w:qFormat/>
    <w:pPr>
      <w:pBdr/>
      <w:spacing/>
      <w:ind w:left="708"/>
      <w:outlineLvl w:val="8"/>
    </w:pPr>
    <w:rPr>
      <w:rFonts w:ascii="Courier" w:hAnsi="Courier" w:cs="Courier"/>
      <w:i/>
      <w:iCs/>
    </w:rPr>
  </w:style>
  <w:style w:type="character" w:styleId="871" w:default="1">
    <w:name w:val="Default Paragraph Font"/>
    <w:uiPriority w:val="1"/>
    <w:semiHidden/>
    <w:unhideWhenUsed/>
    <w:pPr>
      <w:pBdr/>
      <w:spacing/>
      <w:ind/>
    </w:pPr>
  </w:style>
  <w:style w:type="table" w:styleId="872"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73" w:default="1">
    <w:name w:val="No List"/>
    <w:uiPriority w:val="99"/>
    <w:semiHidden/>
    <w:unhideWhenUsed/>
    <w:pPr>
      <w:pBdr/>
      <w:spacing/>
      <w:ind/>
    </w:pPr>
  </w:style>
  <w:style w:type="paragraph" w:styleId="874">
    <w:name w:val="Normal Indent"/>
    <w:basedOn w:val="861"/>
    <w:uiPriority w:val="99"/>
    <w:pPr>
      <w:pBdr/>
      <w:spacing w:before="240" w:line="340" w:lineRule="exact"/>
      <w:ind/>
      <w:jc w:val="both"/>
    </w:pPr>
  </w:style>
  <w:style w:type="paragraph" w:styleId="875">
    <w:name w:val="Balloon Text"/>
    <w:basedOn w:val="861"/>
    <w:link w:val="905"/>
    <w:uiPriority w:val="99"/>
    <w:semiHidden/>
    <w:unhideWhenUsed/>
    <w:pPr>
      <w:pBdr/>
      <w:spacing/>
      <w:ind/>
    </w:pPr>
    <w:rPr>
      <w:rFonts w:ascii="Tahoma" w:hAnsi="Tahoma" w:cs="Tahoma"/>
      <w:sz w:val="16"/>
      <w:szCs w:val="16"/>
    </w:rPr>
  </w:style>
  <w:style w:type="paragraph" w:styleId="876">
    <w:name w:val="annotation text"/>
    <w:basedOn w:val="861"/>
    <w:link w:val="906"/>
    <w:uiPriority w:val="99"/>
    <w:semiHidden/>
    <w:unhideWhenUsed/>
    <w:pPr>
      <w:pBdr/>
      <w:spacing/>
      <w:ind/>
    </w:pPr>
    <w:rPr>
      <w:sz w:val="20"/>
      <w:szCs w:val="20"/>
    </w:rPr>
  </w:style>
  <w:style w:type="paragraph" w:styleId="877">
    <w:name w:val="annotation subject"/>
    <w:basedOn w:val="876"/>
    <w:next w:val="876"/>
    <w:link w:val="907"/>
    <w:uiPriority w:val="99"/>
    <w:semiHidden/>
    <w:unhideWhenUsed/>
    <w:pPr>
      <w:pBdr/>
      <w:spacing/>
      <w:ind/>
    </w:pPr>
    <w:rPr>
      <w:b/>
      <w:bCs/>
    </w:rPr>
  </w:style>
  <w:style w:type="paragraph" w:styleId="878">
    <w:name w:val="endnote text"/>
    <w:basedOn w:val="861"/>
    <w:link w:val="904"/>
    <w:uiPriority w:val="99"/>
    <w:semiHidden/>
    <w:pPr>
      <w:pBdr/>
      <w:spacing/>
      <w:ind/>
    </w:pPr>
  </w:style>
  <w:style w:type="paragraph" w:styleId="879">
    <w:name w:val="Footer"/>
    <w:basedOn w:val="861"/>
    <w:link w:val="902"/>
    <w:uiPriority w:val="99"/>
    <w:pPr>
      <w:pBdr/>
      <w:tabs>
        <w:tab w:val="center" w:leader="none" w:pos="4819"/>
        <w:tab w:val="right" w:leader="none" w:pos="9071"/>
      </w:tabs>
      <w:spacing/>
      <w:ind/>
    </w:pPr>
    <w:rPr>
      <w:rFonts w:ascii="Courier New" w:hAnsi="Courier New" w:cs="Courier New"/>
    </w:rPr>
  </w:style>
  <w:style w:type="paragraph" w:styleId="880">
    <w:name w:val="footnote text"/>
    <w:basedOn w:val="861"/>
    <w:link w:val="903"/>
    <w:uiPriority w:val="99"/>
    <w:semiHidden/>
    <w:pPr>
      <w:pBdr/>
      <w:spacing/>
      <w:ind/>
    </w:pPr>
  </w:style>
  <w:style w:type="paragraph" w:styleId="881">
    <w:name w:val="Header"/>
    <w:basedOn w:val="861"/>
    <w:link w:val="901"/>
    <w:uiPriority w:val="99"/>
    <w:pPr>
      <w:pBdr/>
      <w:tabs>
        <w:tab w:val="center" w:leader="none" w:pos="4819"/>
        <w:tab w:val="right" w:leader="none" w:pos="9071"/>
      </w:tabs>
      <w:spacing/>
      <w:ind/>
    </w:pPr>
  </w:style>
  <w:style w:type="paragraph" w:styleId="882">
    <w:name w:val="List"/>
    <w:basedOn w:val="861"/>
    <w:uiPriority w:val="99"/>
    <w:pPr>
      <w:pBdr/>
      <w:spacing/>
      <w:ind/>
    </w:pPr>
  </w:style>
  <w:style w:type="paragraph" w:styleId="883">
    <w:name w:val="toc 1"/>
    <w:basedOn w:val="861"/>
    <w:next w:val="861"/>
    <w:uiPriority w:val="99"/>
    <w:semiHidden/>
    <w:pPr>
      <w:pBdr/>
      <w:spacing w:before="240"/>
      <w:ind w:right="1588"/>
    </w:pPr>
    <w:rPr>
      <w:b/>
      <w:bCs/>
      <w:sz w:val="20"/>
      <w:szCs w:val="20"/>
    </w:rPr>
  </w:style>
  <w:style w:type="paragraph" w:styleId="884">
    <w:name w:val="toc 2"/>
    <w:basedOn w:val="883"/>
    <w:next w:val="861"/>
    <w:uiPriority w:val="99"/>
    <w:semiHidden/>
    <w:pPr>
      <w:pBdr/>
      <w:spacing/>
      <w:ind w:left="567"/>
    </w:pPr>
    <w:rPr>
      <w:b w:val="0"/>
      <w:bCs w:val="0"/>
    </w:rPr>
  </w:style>
  <w:style w:type="character" w:styleId="885">
    <w:name w:val="annotation reference"/>
    <w:uiPriority w:val="99"/>
    <w:semiHidden/>
    <w:unhideWhenUsed/>
    <w:pPr>
      <w:pBdr/>
      <w:spacing/>
      <w:ind/>
    </w:pPr>
    <w:rPr>
      <w:sz w:val="16"/>
      <w:szCs w:val="16"/>
    </w:rPr>
  </w:style>
  <w:style w:type="character" w:styleId="886">
    <w:name w:val="FollowedHyperlink"/>
    <w:uiPriority w:val="99"/>
    <w:pPr>
      <w:pBdr/>
      <w:spacing/>
      <w:ind/>
    </w:pPr>
    <w:rPr>
      <w:rFonts w:cs="Times New Roman"/>
      <w:color w:val="800080"/>
      <w:u w:val="single"/>
    </w:rPr>
  </w:style>
  <w:style w:type="character" w:styleId="887">
    <w:name w:val="footnote reference"/>
    <w:uiPriority w:val="99"/>
    <w:semiHidden/>
    <w:pPr>
      <w:pBdr/>
      <w:spacing/>
      <w:ind/>
    </w:pPr>
    <w:rPr>
      <w:rFonts w:cs="Times New Roman"/>
      <w:position w:val="6"/>
      <w:sz w:val="16"/>
      <w:szCs w:val="16"/>
    </w:rPr>
  </w:style>
  <w:style w:type="character" w:styleId="888">
    <w:name w:val="Hyperlink"/>
    <w:uiPriority w:val="99"/>
    <w:pPr>
      <w:pBdr/>
      <w:spacing/>
      <w:ind/>
    </w:pPr>
    <w:rPr>
      <w:rFonts w:cs="Times New Roman"/>
      <w:color w:val="0000ff"/>
      <w:u w:val="single"/>
    </w:rPr>
  </w:style>
  <w:style w:type="character" w:styleId="889">
    <w:name w:val="page number"/>
    <w:uiPriority w:val="99"/>
    <w:pPr>
      <w:pBdr/>
      <w:spacing/>
      <w:ind/>
    </w:pPr>
    <w:rPr>
      <w:rFonts w:cs="Times New Roman"/>
    </w:rPr>
  </w:style>
  <w:style w:type="paragraph" w:styleId="890" w:customStyle="1">
    <w:name w:val="Feld"/>
    <w:basedOn w:val="861"/>
    <w:uiPriority w:val="99"/>
    <w:pPr>
      <w:keepNext w:val="true"/>
      <w:keepLines w:val="true"/>
      <w:pBdr/>
      <w:spacing w:after="120"/>
      <w:ind/>
      <w:jc w:val="both"/>
    </w:pPr>
    <w:rPr>
      <w:b/>
      <w:bCs/>
      <w:sz w:val="18"/>
      <w:szCs w:val="18"/>
    </w:rPr>
  </w:style>
  <w:style w:type="paragraph" w:styleId="891" w:customStyle="1">
    <w:name w:val="Standard2"/>
    <w:basedOn w:val="861"/>
    <w:uiPriority w:val="99"/>
    <w:pPr>
      <w:numPr>
        <w:numId w:val="1"/>
      </w:numPr>
      <w:pBdr/>
      <w:spacing w:before="240" w:line="340" w:lineRule="exact"/>
      <w:ind/>
      <w:jc w:val="both"/>
    </w:pPr>
  </w:style>
  <w:style w:type="character" w:styleId="892" w:customStyle="1">
    <w:name w:val="Überschrift 1 Zchn"/>
    <w:link w:val="862"/>
    <w:uiPriority w:val="9"/>
    <w:pPr>
      <w:pBdr/>
      <w:spacing/>
      <w:ind/>
    </w:pPr>
    <w:rPr>
      <w:rFonts w:ascii="Cambria" w:hAnsi="Cambria" w:eastAsia="Times New Roman" w:cs="Times New Roman"/>
      <w:b/>
      <w:bCs/>
      <w:sz w:val="32"/>
      <w:szCs w:val="32"/>
      <w:lang w:eastAsia="de-DE"/>
    </w:rPr>
  </w:style>
  <w:style w:type="character" w:styleId="893" w:customStyle="1">
    <w:name w:val="Überschrift 2 Zchn"/>
    <w:link w:val="863"/>
    <w:uiPriority w:val="9"/>
    <w:semiHidden/>
    <w:pPr>
      <w:pBdr/>
      <w:spacing/>
      <w:ind/>
    </w:pPr>
    <w:rPr>
      <w:rFonts w:ascii="Cambria" w:hAnsi="Cambria" w:eastAsia="Times New Roman" w:cs="Times New Roman"/>
      <w:b/>
      <w:bCs/>
      <w:i/>
      <w:iCs/>
      <w:sz w:val="28"/>
      <w:szCs w:val="28"/>
      <w:lang w:eastAsia="de-DE"/>
    </w:rPr>
  </w:style>
  <w:style w:type="character" w:styleId="894" w:customStyle="1">
    <w:name w:val="Überschrift 3 Zchn"/>
    <w:link w:val="864"/>
    <w:uiPriority w:val="9"/>
    <w:semiHidden/>
    <w:pPr>
      <w:pBdr/>
      <w:spacing/>
      <w:ind/>
    </w:pPr>
    <w:rPr>
      <w:rFonts w:ascii="Cambria" w:hAnsi="Cambria" w:eastAsia="Times New Roman" w:cs="Times New Roman"/>
      <w:b/>
      <w:bCs/>
      <w:sz w:val="26"/>
      <w:szCs w:val="26"/>
      <w:lang w:eastAsia="de-DE"/>
    </w:rPr>
  </w:style>
  <w:style w:type="character" w:styleId="895" w:customStyle="1">
    <w:name w:val="Überschrift 4 Zchn"/>
    <w:link w:val="865"/>
    <w:uiPriority w:val="9"/>
    <w:semiHidden/>
    <w:pPr>
      <w:pBdr/>
      <w:spacing/>
      <w:ind/>
    </w:pPr>
    <w:rPr>
      <w:rFonts w:ascii="Calibri" w:hAnsi="Calibri" w:eastAsia="Times New Roman" w:cs="Times New Roman"/>
      <w:b/>
      <w:bCs/>
      <w:sz w:val="28"/>
      <w:szCs w:val="28"/>
      <w:lang w:eastAsia="de-DE"/>
    </w:rPr>
  </w:style>
  <w:style w:type="character" w:styleId="896" w:customStyle="1">
    <w:name w:val="Überschrift 5 Zchn"/>
    <w:link w:val="866"/>
    <w:uiPriority w:val="9"/>
    <w:semiHidden/>
    <w:pPr>
      <w:pBdr/>
      <w:spacing/>
      <w:ind/>
    </w:pPr>
    <w:rPr>
      <w:rFonts w:ascii="Calibri" w:hAnsi="Calibri" w:eastAsia="Times New Roman" w:cs="Times New Roman"/>
      <w:b/>
      <w:bCs/>
      <w:i/>
      <w:iCs/>
      <w:sz w:val="26"/>
      <w:szCs w:val="26"/>
      <w:lang w:eastAsia="de-DE"/>
    </w:rPr>
  </w:style>
  <w:style w:type="character" w:styleId="897" w:customStyle="1">
    <w:name w:val="Überschrift 6 Zchn"/>
    <w:link w:val="867"/>
    <w:uiPriority w:val="9"/>
    <w:semiHidden/>
    <w:pPr>
      <w:pBdr/>
      <w:spacing/>
      <w:ind/>
    </w:pPr>
    <w:rPr>
      <w:rFonts w:ascii="Calibri" w:hAnsi="Calibri" w:eastAsia="Times New Roman" w:cs="Times New Roman"/>
      <w:b/>
      <w:bCs/>
      <w:lang w:eastAsia="de-DE"/>
    </w:rPr>
  </w:style>
  <w:style w:type="character" w:styleId="898" w:customStyle="1">
    <w:name w:val="Überschrift 7 Zchn"/>
    <w:link w:val="868"/>
    <w:uiPriority w:val="9"/>
    <w:semiHidden/>
    <w:pPr>
      <w:pBdr/>
      <w:spacing/>
      <w:ind/>
    </w:pPr>
    <w:rPr>
      <w:rFonts w:ascii="Calibri" w:hAnsi="Calibri" w:eastAsia="Times New Roman" w:cs="Times New Roman"/>
      <w:sz w:val="24"/>
      <w:szCs w:val="24"/>
      <w:lang w:eastAsia="de-DE"/>
    </w:rPr>
  </w:style>
  <w:style w:type="character" w:styleId="899" w:customStyle="1">
    <w:name w:val="Überschrift 8 Zchn"/>
    <w:link w:val="869"/>
    <w:uiPriority w:val="9"/>
    <w:semiHidden/>
    <w:pPr>
      <w:pBdr/>
      <w:spacing/>
      <w:ind/>
    </w:pPr>
    <w:rPr>
      <w:rFonts w:ascii="Calibri" w:hAnsi="Calibri" w:eastAsia="Times New Roman" w:cs="Times New Roman"/>
      <w:i/>
      <w:iCs/>
      <w:sz w:val="24"/>
      <w:szCs w:val="24"/>
      <w:lang w:eastAsia="de-DE"/>
    </w:rPr>
  </w:style>
  <w:style w:type="character" w:styleId="900" w:customStyle="1">
    <w:name w:val="Überschrift 9 Zchn"/>
    <w:link w:val="870"/>
    <w:uiPriority w:val="9"/>
    <w:semiHidden/>
    <w:pPr>
      <w:pBdr/>
      <w:spacing/>
      <w:ind/>
    </w:pPr>
    <w:rPr>
      <w:rFonts w:ascii="Cambria" w:hAnsi="Cambria" w:eastAsia="Times New Roman" w:cs="Times New Roman"/>
      <w:lang w:eastAsia="de-DE"/>
    </w:rPr>
  </w:style>
  <w:style w:type="character" w:styleId="901" w:customStyle="1">
    <w:name w:val="Kopfzeile Zchn"/>
    <w:link w:val="881"/>
    <w:uiPriority w:val="99"/>
    <w:semiHidden/>
    <w:pPr>
      <w:pBdr/>
      <w:spacing/>
      <w:ind/>
    </w:pPr>
    <w:rPr>
      <w:rFonts w:ascii="Arial" w:hAnsi="Arial" w:cs="Arial"/>
      <w:lang w:eastAsia="de-DE"/>
    </w:rPr>
  </w:style>
  <w:style w:type="character" w:styleId="902" w:customStyle="1">
    <w:name w:val="Fußzeile Zchn"/>
    <w:link w:val="879"/>
    <w:uiPriority w:val="99"/>
    <w:semiHidden/>
    <w:pPr>
      <w:pBdr/>
      <w:spacing/>
      <w:ind/>
    </w:pPr>
    <w:rPr>
      <w:rFonts w:ascii="Arial" w:hAnsi="Arial" w:cs="Arial"/>
      <w:lang w:eastAsia="de-DE"/>
    </w:rPr>
  </w:style>
  <w:style w:type="character" w:styleId="903" w:customStyle="1">
    <w:name w:val="Fußnotentext Zchn"/>
    <w:link w:val="880"/>
    <w:uiPriority w:val="99"/>
    <w:semiHidden/>
    <w:pPr>
      <w:pBdr/>
      <w:spacing/>
      <w:ind/>
    </w:pPr>
    <w:rPr>
      <w:rFonts w:ascii="Arial" w:hAnsi="Arial" w:cs="Arial"/>
      <w:sz w:val="20"/>
      <w:szCs w:val="20"/>
      <w:lang w:eastAsia="de-DE"/>
    </w:rPr>
  </w:style>
  <w:style w:type="character" w:styleId="904" w:customStyle="1">
    <w:name w:val="Endnotentext Zchn"/>
    <w:link w:val="878"/>
    <w:uiPriority w:val="99"/>
    <w:semiHidden/>
    <w:pPr>
      <w:pBdr/>
      <w:spacing/>
      <w:ind/>
    </w:pPr>
    <w:rPr>
      <w:rFonts w:ascii="Arial" w:hAnsi="Arial" w:cs="Arial"/>
      <w:sz w:val="20"/>
      <w:szCs w:val="20"/>
      <w:lang w:eastAsia="de-DE"/>
    </w:rPr>
  </w:style>
  <w:style w:type="character" w:styleId="905" w:customStyle="1">
    <w:name w:val="Sprechblasentext Zchn"/>
    <w:link w:val="875"/>
    <w:uiPriority w:val="99"/>
    <w:semiHidden/>
    <w:pPr>
      <w:pBdr/>
      <w:spacing/>
      <w:ind/>
    </w:pPr>
    <w:rPr>
      <w:rFonts w:ascii="Tahoma" w:hAnsi="Tahoma" w:cs="Tahoma"/>
      <w:sz w:val="16"/>
      <w:szCs w:val="16"/>
      <w:lang w:val="hr-HR"/>
    </w:rPr>
  </w:style>
  <w:style w:type="character" w:styleId="906" w:customStyle="1">
    <w:name w:val="Kommentartext Zchn"/>
    <w:link w:val="876"/>
    <w:uiPriority w:val="99"/>
    <w:semiHidden/>
    <w:pPr>
      <w:pBdr/>
      <w:spacing/>
      <w:ind/>
    </w:pPr>
    <w:rPr>
      <w:rFonts w:ascii="Arial" w:hAnsi="Arial" w:cs="Arial"/>
      <w:lang w:eastAsia="de-DE"/>
    </w:rPr>
  </w:style>
  <w:style w:type="character" w:styleId="907" w:customStyle="1">
    <w:name w:val="Kommentarthema Zchn"/>
    <w:link w:val="877"/>
    <w:uiPriority w:val="99"/>
    <w:semiHidden/>
    <w:pPr>
      <w:pBdr/>
      <w:spacing/>
      <w:ind/>
    </w:pPr>
    <w:rPr>
      <w:rFonts w:ascii="Arial" w:hAnsi="Arial" w:cs="Arial"/>
      <w:b/>
      <w:bCs/>
      <w:lang w:eastAsia="de-DE"/>
    </w:rPr>
  </w:style>
  <w:style w:type="character" w:styleId="908" w:customStyle="1">
    <w:name w:val="Nicht aufgelöste Erwähnung1"/>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 Id="rId16" Type="http://schemas.openxmlformats.org/officeDocument/2006/relationships/hyperlink" Target="https://www.ris.bka.gv.at/Dokumente/BgblPdf/1997_108_1/1997_108_1.pdf" TargetMode="External"/><Relationship Id="rId17" Type="http://schemas.openxmlformats.org/officeDocument/2006/relationships/hyperlink" Target="https://www.ris.bka.gv.at/eli/bgbl/II/2015/396" TargetMode="External"/><Relationship Id="rId18" Type="http://schemas.openxmlformats.org/officeDocument/2006/relationships/hyperlink" Target="https://www.ris.bka.gv.at/eli/bgbl/II/2015/397" TargetMode="External"/><Relationship Id="rId19" Type="http://schemas.openxmlformats.org/officeDocument/2006/relationships/hyperlink" Target="https://www.ris.bka.gv.at/eli/bgbl/II/2015/396"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ADVOFORM.DOT</Template>
  <Application>ONLYOFFICE/9.0.0.172</Application>
  <DocSecurity>0</DocSecurity>
  <ScaleCrop>0</ScaleCrop>
  <HeadingPairs>
    <vt:vector size="0" baseType="variant"/>
  </HeadingPairs>
  <TitlesOfParts>
    <vt:vector size="0" baseType="lpstr"/>
  </TitlesOfParts>
  <Company>LLE</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revision>3</cp:revision>
  <dcterms:created xsi:type="dcterms:W3CDTF">2020-07-06T08:35:00Z</dcterms:created>
  <dcterms:modified xsi:type="dcterms:W3CDTF">2025-06-20T07:47:05Z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